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0CD7" w14:textId="77777777" w:rsidR="00B644AD" w:rsidRDefault="00B644AD"/>
    <w:tbl>
      <w:tblPr>
        <w:tblStyle w:val="Tablaconcuadrcula"/>
        <w:tblpPr w:leftFromText="141" w:rightFromText="141" w:vertAnchor="text" w:horzAnchor="margin"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135F"/>
        <w:tblLook w:val="04A0" w:firstRow="1" w:lastRow="0" w:firstColumn="1" w:lastColumn="0" w:noHBand="0" w:noVBand="1"/>
      </w:tblPr>
      <w:tblGrid>
        <w:gridCol w:w="8838"/>
      </w:tblGrid>
      <w:tr w:rsidR="0001674F" w14:paraId="1A3DAA5E" w14:textId="77777777" w:rsidTr="00DE4E4A">
        <w:trPr>
          <w:trHeight w:val="366"/>
        </w:trPr>
        <w:tc>
          <w:tcPr>
            <w:tcW w:w="8838" w:type="dxa"/>
            <w:shd w:val="clear" w:color="auto" w:fill="24135F"/>
            <w:vAlign w:val="center"/>
          </w:tcPr>
          <w:p w14:paraId="68424A6D" w14:textId="77777777" w:rsidR="00B644AD" w:rsidRDefault="00B644AD" w:rsidP="00B644AD">
            <w:pPr>
              <w:rPr>
                <w:rFonts w:ascii="Arial" w:hAnsi="Arial" w:cs="Arial"/>
                <w:b/>
                <w:sz w:val="24"/>
                <w:szCs w:val="24"/>
                <w:lang w:val="es-ES_tradnl"/>
              </w:rPr>
            </w:pPr>
          </w:p>
          <w:p w14:paraId="522E2BE3" w14:textId="7456A07B" w:rsidR="0001674F" w:rsidRPr="0001674F" w:rsidRDefault="0004217B" w:rsidP="0001674F">
            <w:pPr>
              <w:jc w:val="center"/>
              <w:rPr>
                <w:rFonts w:ascii="Arial" w:hAnsi="Arial" w:cs="Arial"/>
                <w:b/>
                <w:sz w:val="24"/>
                <w:szCs w:val="24"/>
                <w:lang w:val="es-ES_tradnl"/>
              </w:rPr>
            </w:pPr>
            <w:r>
              <w:rPr>
                <w:rFonts w:ascii="Arial" w:hAnsi="Arial" w:cs="Arial"/>
                <w:b/>
                <w:sz w:val="24"/>
                <w:szCs w:val="24"/>
                <w:lang w:val="es-ES_tradnl"/>
              </w:rPr>
              <w:t>DIAGNÓSTICO</w:t>
            </w:r>
            <w:r w:rsidR="0001674F" w:rsidRPr="0001674F">
              <w:rPr>
                <w:rFonts w:ascii="Arial" w:hAnsi="Arial" w:cs="Arial"/>
                <w:b/>
                <w:sz w:val="24"/>
                <w:szCs w:val="24"/>
                <w:lang w:val="es-ES_tradnl"/>
              </w:rPr>
              <w:t xml:space="preserve"> DE ACCIONES PARA GARANTIZAR EL EJERCICIO DE LOS DERECHOS HUMANOS DE ACCESO A LA INFORMACIÓN Y</w:t>
            </w:r>
          </w:p>
          <w:p w14:paraId="505679B5" w14:textId="5899C150" w:rsidR="0001674F" w:rsidRDefault="0001674F" w:rsidP="0001674F">
            <w:pPr>
              <w:jc w:val="center"/>
              <w:rPr>
                <w:rFonts w:ascii="Arial" w:hAnsi="Arial" w:cs="Arial"/>
                <w:b/>
                <w:sz w:val="24"/>
                <w:szCs w:val="24"/>
                <w:lang w:val="es-ES_tradnl"/>
              </w:rPr>
            </w:pPr>
            <w:r w:rsidRPr="0001674F">
              <w:rPr>
                <w:rFonts w:ascii="Arial" w:hAnsi="Arial" w:cs="Arial"/>
                <w:b/>
                <w:sz w:val="24"/>
                <w:szCs w:val="24"/>
                <w:lang w:val="es-ES_tradnl"/>
              </w:rPr>
              <w:t>PROTECCIÓN DE DATOS PERSONALES</w:t>
            </w:r>
            <w:r w:rsidR="00786146">
              <w:rPr>
                <w:rFonts w:ascii="Arial" w:hAnsi="Arial" w:cs="Arial"/>
                <w:b/>
                <w:sz w:val="24"/>
                <w:szCs w:val="24"/>
                <w:lang w:val="es-ES_tradnl"/>
              </w:rPr>
              <w:t xml:space="preserve"> A GRUPOS VULNERABLES</w:t>
            </w:r>
          </w:p>
          <w:p w14:paraId="3EB82231" w14:textId="77777777" w:rsidR="00003B13" w:rsidRDefault="00003B13" w:rsidP="0001674F">
            <w:pPr>
              <w:jc w:val="center"/>
              <w:rPr>
                <w:rFonts w:ascii="Arial" w:hAnsi="Arial" w:cs="Arial"/>
                <w:b/>
                <w:sz w:val="24"/>
                <w:szCs w:val="24"/>
                <w:lang w:val="es-ES_tradnl"/>
              </w:rPr>
            </w:pPr>
          </w:p>
          <w:p w14:paraId="2B14AD28" w14:textId="6F0E3F7F" w:rsidR="00DD257D" w:rsidRDefault="00DD257D" w:rsidP="0001674F">
            <w:pPr>
              <w:jc w:val="center"/>
              <w:rPr>
                <w:rFonts w:ascii="Arial" w:hAnsi="Arial" w:cs="Arial"/>
                <w:b/>
                <w:sz w:val="24"/>
                <w:szCs w:val="24"/>
                <w:lang w:val="es-ES_tradnl"/>
              </w:rPr>
            </w:pPr>
            <w:r>
              <w:rPr>
                <w:rFonts w:ascii="Arial" w:hAnsi="Arial" w:cs="Arial"/>
                <w:b/>
                <w:sz w:val="24"/>
                <w:szCs w:val="24"/>
                <w:lang w:val="es-ES_tradnl"/>
              </w:rPr>
              <w:t>202</w:t>
            </w:r>
            <w:r w:rsidR="00003B13">
              <w:rPr>
                <w:rFonts w:ascii="Arial" w:hAnsi="Arial" w:cs="Arial"/>
                <w:b/>
                <w:sz w:val="24"/>
                <w:szCs w:val="24"/>
                <w:lang w:val="es-ES_tradnl"/>
              </w:rPr>
              <w:t>3</w:t>
            </w:r>
          </w:p>
          <w:p w14:paraId="2087F138" w14:textId="77777777" w:rsidR="00B644AD" w:rsidRPr="0018101D" w:rsidRDefault="00B644AD" w:rsidP="0001674F">
            <w:pPr>
              <w:jc w:val="center"/>
              <w:rPr>
                <w:rFonts w:ascii="Arial" w:hAnsi="Arial" w:cs="Arial"/>
                <w:b/>
                <w:sz w:val="24"/>
                <w:szCs w:val="24"/>
                <w:lang w:val="es-ES_tradnl"/>
              </w:rPr>
            </w:pPr>
          </w:p>
        </w:tc>
      </w:tr>
    </w:tbl>
    <w:p w14:paraId="71ACDB0F" w14:textId="77777777" w:rsidR="00003B13" w:rsidRPr="00003B13" w:rsidRDefault="00003B13" w:rsidP="00765C62">
      <w:pPr>
        <w:spacing w:line="360" w:lineRule="auto"/>
        <w:jc w:val="both"/>
        <w:rPr>
          <w:rFonts w:ascii="Arial" w:hAnsi="Arial" w:cs="Arial"/>
          <w:sz w:val="24"/>
          <w:szCs w:val="24"/>
          <w:lang w:val="es-ES_tradnl"/>
        </w:rPr>
      </w:pPr>
    </w:p>
    <w:p w14:paraId="0F5CB807" w14:textId="044D396F" w:rsidR="00003B13" w:rsidRDefault="00003B13" w:rsidP="00765C62">
      <w:pPr>
        <w:spacing w:line="360" w:lineRule="auto"/>
        <w:jc w:val="both"/>
        <w:rPr>
          <w:rFonts w:ascii="Arial" w:hAnsi="Arial" w:cs="Arial"/>
          <w:sz w:val="24"/>
          <w:szCs w:val="24"/>
          <w:lang w:val="es-ES_tradnl"/>
        </w:rPr>
      </w:pPr>
      <w:r w:rsidRPr="00003B13">
        <w:rPr>
          <w:rFonts w:ascii="Arial" w:hAnsi="Arial" w:cs="Arial"/>
          <w:sz w:val="24"/>
          <w:szCs w:val="24"/>
          <w:lang w:val="es-ES_tradnl"/>
        </w:rPr>
        <w:t>Las acciones que realiza en Poder Judicial de la Federación, a través del Consejo de la Judicatura Federal, para garantizar el acceso a la información y protección de datos personales para la ciudadanía y en particular, para la gente más vulnerable de nuestra sociedad, se han concretado mediante la implementación de políticas de inclusión y accesibilidad; junto con la elaboración de protocolos y manuales de actuación en materia de derechos humanos.</w:t>
      </w:r>
    </w:p>
    <w:p w14:paraId="21A11272" w14:textId="77777777" w:rsidR="00003B13" w:rsidRPr="00003B13" w:rsidRDefault="00003B13" w:rsidP="00765C62">
      <w:pPr>
        <w:spacing w:line="360" w:lineRule="auto"/>
        <w:jc w:val="both"/>
        <w:rPr>
          <w:rFonts w:ascii="Arial" w:hAnsi="Arial" w:cs="Arial"/>
          <w:sz w:val="24"/>
          <w:szCs w:val="24"/>
          <w:lang w:val="es-ES_tradnl"/>
        </w:rPr>
      </w:pPr>
    </w:p>
    <w:p w14:paraId="730C9578" w14:textId="3B4D5EF4" w:rsidR="00003B13" w:rsidRDefault="00003B13" w:rsidP="00765C62">
      <w:pPr>
        <w:spacing w:line="360" w:lineRule="auto"/>
        <w:jc w:val="both"/>
        <w:rPr>
          <w:rFonts w:ascii="Arial" w:hAnsi="Arial" w:cs="Arial"/>
          <w:sz w:val="24"/>
          <w:szCs w:val="24"/>
          <w:lang w:val="es-ES_tradnl"/>
        </w:rPr>
      </w:pPr>
      <w:r w:rsidRPr="00003B13">
        <w:rPr>
          <w:rFonts w:ascii="Arial" w:hAnsi="Arial" w:cs="Arial"/>
          <w:sz w:val="24"/>
          <w:szCs w:val="24"/>
          <w:lang w:val="es-ES_tradnl"/>
        </w:rPr>
        <w:t>Para ello, la Unidad de Transparencia del Consejo de la Judicatura Federal (CJF) es la responsable de garantizar y promover el ejercicio del derecho de acceso a la información pública; desarrollar e implementar acciones tendentes a la protección de datos personales en posesión del CJF; difundir información y coordinar las acciones para el cumplimiento de las obligaciones de transparencia, de conformidad con las Leyes General y Federal de Transparencia y Acceso a la Información Pública; brindar capacitación en materia de transparencia y protección de datos personales a órganos jurisdiccionales y áreas administrativas; y auxiliar al Comité de Transparencia del CJF, con la finalidad de dar cum</w:t>
      </w:r>
      <w:r w:rsidRPr="00003B13">
        <w:rPr>
          <w:rFonts w:ascii="Arial" w:hAnsi="Arial" w:cs="Arial"/>
          <w:sz w:val="24"/>
          <w:szCs w:val="24"/>
          <w:lang w:val="es-ES_tradnl"/>
        </w:rPr>
        <w:softHyphen/>
        <w:t>plimiento a las atribuciones encomendadas.</w:t>
      </w:r>
    </w:p>
    <w:p w14:paraId="224091AE" w14:textId="77777777" w:rsidR="00003B13" w:rsidRPr="00003B13" w:rsidRDefault="00003B13" w:rsidP="00765C62">
      <w:pPr>
        <w:spacing w:line="360" w:lineRule="auto"/>
        <w:jc w:val="both"/>
        <w:rPr>
          <w:rFonts w:ascii="Arial" w:hAnsi="Arial" w:cs="Arial"/>
          <w:sz w:val="24"/>
          <w:szCs w:val="24"/>
          <w:lang w:val="es-ES_tradnl"/>
        </w:rPr>
      </w:pPr>
    </w:p>
    <w:p w14:paraId="44CF0DE3" w14:textId="77777777" w:rsidR="00003B13" w:rsidRPr="00003B13" w:rsidRDefault="00003B13" w:rsidP="00765C62">
      <w:pPr>
        <w:spacing w:line="360" w:lineRule="auto"/>
        <w:jc w:val="both"/>
        <w:rPr>
          <w:rFonts w:ascii="Arial" w:hAnsi="Arial" w:cs="Arial"/>
          <w:sz w:val="24"/>
          <w:szCs w:val="24"/>
          <w:lang w:val="es-ES_tradnl"/>
        </w:rPr>
      </w:pPr>
      <w:r w:rsidRPr="00003B13">
        <w:rPr>
          <w:rFonts w:ascii="Arial" w:hAnsi="Arial" w:cs="Arial"/>
          <w:sz w:val="24"/>
          <w:szCs w:val="24"/>
          <w:lang w:val="es-ES_tradnl"/>
        </w:rPr>
        <w:t xml:space="preserve">Es así que, atendiendo a lo establecido en el capítulo II del Acuerdo del Consejo Nacional del Sistema Nacional de Transparencia, Acceso a </w:t>
      </w:r>
      <w:smartTag w:uri="urn:schemas-microsoft-com:office:smarttags" w:element="PersonName">
        <w:smartTagPr>
          <w:attr w:name="ProductID" w:val="la Información Pública"/>
        </w:smartTagPr>
        <w:r w:rsidRPr="00003B13">
          <w:rPr>
            <w:rFonts w:ascii="Arial" w:hAnsi="Arial" w:cs="Arial"/>
            <w:sz w:val="24"/>
            <w:szCs w:val="24"/>
            <w:lang w:val="es-ES_tradnl"/>
          </w:rPr>
          <w:t>la Información Pública</w:t>
        </w:r>
      </w:smartTag>
      <w:r w:rsidRPr="00003B13">
        <w:rPr>
          <w:rFonts w:ascii="Arial" w:hAnsi="Arial" w:cs="Arial"/>
          <w:sz w:val="24"/>
          <w:szCs w:val="24"/>
          <w:lang w:val="es-ES_tradnl"/>
        </w:rPr>
        <w:t xml:space="preserve"> </w:t>
      </w:r>
      <w:r w:rsidRPr="00003B13">
        <w:rPr>
          <w:rFonts w:ascii="Arial" w:hAnsi="Arial" w:cs="Arial"/>
          <w:sz w:val="24"/>
          <w:szCs w:val="24"/>
          <w:lang w:val="es-ES_tradnl"/>
        </w:rPr>
        <w:lastRenderedPageBreak/>
        <w:t xml:space="preserve">y Protección de Datos Personales, por el que se emiten los Criterios para que los Sujetos Obligados Garanticen Condiciones de Accesibilidad que Permitan el Ejercicio de los Derechos Humanos de Acceso a </w:t>
      </w:r>
      <w:smartTag w:uri="urn:schemas-microsoft-com:office:smarttags" w:element="PersonName">
        <w:smartTagPr>
          <w:attr w:name="ProductID" w:val="la Informaci￳n"/>
        </w:smartTagPr>
        <w:r w:rsidRPr="00003B13">
          <w:rPr>
            <w:rFonts w:ascii="Arial" w:hAnsi="Arial" w:cs="Arial"/>
            <w:sz w:val="24"/>
            <w:szCs w:val="24"/>
            <w:lang w:val="es-ES_tradnl"/>
          </w:rPr>
          <w:t>la Información</w:t>
        </w:r>
      </w:smartTag>
      <w:r w:rsidRPr="00003B13">
        <w:rPr>
          <w:rFonts w:ascii="Arial" w:hAnsi="Arial" w:cs="Arial"/>
          <w:sz w:val="24"/>
          <w:szCs w:val="24"/>
          <w:lang w:val="es-ES_tradnl"/>
        </w:rPr>
        <w:t xml:space="preserve"> y Protección de Datos Personales a Grupos Vulnerables, el Consejo de la Judicatura Federal, por conducto de la Unidad de Transparencia refleja los avances siguientes:</w:t>
      </w:r>
    </w:p>
    <w:p w14:paraId="0039CF90" w14:textId="4058E60F" w:rsidR="00003B13" w:rsidRDefault="00003B13" w:rsidP="00765C62">
      <w:pPr>
        <w:spacing w:line="360" w:lineRule="auto"/>
        <w:rPr>
          <w:rFonts w:ascii="Arial" w:hAnsi="Arial" w:cs="Arial"/>
          <w:sz w:val="24"/>
          <w:szCs w:val="24"/>
          <w:lang w:val="es-ES_tradnl"/>
        </w:rPr>
      </w:pPr>
    </w:p>
    <w:tbl>
      <w:tblPr>
        <w:tblStyle w:val="Tablaconcuadrcula"/>
        <w:tblpPr w:leftFromText="141" w:rightFromText="141" w:vertAnchor="text" w:horzAnchor="margin" w:tblpY="93"/>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135F"/>
        <w:tblLook w:val="04A0" w:firstRow="1" w:lastRow="0" w:firstColumn="1" w:lastColumn="0" w:noHBand="0" w:noVBand="1"/>
      </w:tblPr>
      <w:tblGrid>
        <w:gridCol w:w="8897"/>
      </w:tblGrid>
      <w:tr w:rsidR="0001674F" w14:paraId="44637CF1" w14:textId="77777777" w:rsidTr="00141089">
        <w:trPr>
          <w:trHeight w:val="1281"/>
        </w:trPr>
        <w:tc>
          <w:tcPr>
            <w:tcW w:w="8897" w:type="dxa"/>
            <w:shd w:val="clear" w:color="auto" w:fill="24135F"/>
            <w:vAlign w:val="center"/>
          </w:tcPr>
          <w:p w14:paraId="5EDC4C2F" w14:textId="77777777" w:rsidR="0001674F" w:rsidRPr="0001674F" w:rsidRDefault="0001674F" w:rsidP="008D5B38">
            <w:pPr>
              <w:jc w:val="both"/>
              <w:rPr>
                <w:rFonts w:ascii="Arial" w:hAnsi="Arial" w:cs="Arial"/>
                <w:b/>
                <w:sz w:val="24"/>
                <w:szCs w:val="24"/>
                <w:lang w:val="es-ES_tradnl"/>
              </w:rPr>
            </w:pPr>
            <w:r w:rsidRPr="0001674F">
              <w:rPr>
                <w:rFonts w:ascii="Arial" w:hAnsi="Arial" w:cs="Arial"/>
                <w:b/>
                <w:sz w:val="24"/>
                <w:szCs w:val="24"/>
                <w:lang w:val="es-ES_tradnl"/>
              </w:rPr>
              <w:t>FRACCIÓN I.- Ajustes razonables para procurar la accesibilidad, la permanencia y el libre desplazamiento en condiciones dignas y seguras de las personas con discapacidad</w:t>
            </w:r>
            <w:r>
              <w:rPr>
                <w:rFonts w:ascii="Arial" w:hAnsi="Arial" w:cs="Arial"/>
                <w:b/>
                <w:sz w:val="24"/>
                <w:szCs w:val="24"/>
                <w:lang w:val="es-ES_tradnl"/>
              </w:rPr>
              <w:t>.</w:t>
            </w:r>
          </w:p>
        </w:tc>
      </w:tr>
    </w:tbl>
    <w:p w14:paraId="37BD0989" w14:textId="77777777" w:rsidR="0001674F" w:rsidRDefault="0001674F" w:rsidP="00765C62">
      <w:pPr>
        <w:spacing w:line="360" w:lineRule="auto"/>
        <w:jc w:val="both"/>
        <w:rPr>
          <w:rFonts w:ascii="Arial" w:hAnsi="Arial" w:cs="Arial"/>
          <w:sz w:val="24"/>
          <w:szCs w:val="24"/>
          <w:lang w:val="es-ES_tradnl"/>
        </w:rPr>
      </w:pPr>
    </w:p>
    <w:p w14:paraId="4A7126ED" w14:textId="1524AA63" w:rsidR="00003B13" w:rsidRDefault="00003B13" w:rsidP="00765C62">
      <w:pPr>
        <w:spacing w:line="360" w:lineRule="auto"/>
        <w:jc w:val="both"/>
        <w:rPr>
          <w:rFonts w:ascii="Arial" w:hAnsi="Arial" w:cs="Arial"/>
          <w:sz w:val="24"/>
          <w:szCs w:val="24"/>
          <w:lang w:val="es-ES_tradnl"/>
        </w:rPr>
      </w:pPr>
      <w:r w:rsidRPr="00003B13">
        <w:rPr>
          <w:rFonts w:ascii="Arial" w:hAnsi="Arial" w:cs="Arial"/>
          <w:sz w:val="24"/>
          <w:szCs w:val="24"/>
          <w:lang w:val="es-ES_tradnl"/>
        </w:rPr>
        <w:t>Como se ha mencionado, las instalaciones que albergan a la Unidad de Transparencia se encuentran ubicadas en la planta baja del inmueble, cuenta con espacios amplios y de libre acceso.</w:t>
      </w:r>
    </w:p>
    <w:p w14:paraId="71EF3E5E" w14:textId="039DB85C" w:rsidR="00003B13" w:rsidRPr="00003B13" w:rsidRDefault="00003B13" w:rsidP="00765C62">
      <w:pPr>
        <w:spacing w:line="360" w:lineRule="auto"/>
        <w:jc w:val="both"/>
        <w:rPr>
          <w:rFonts w:ascii="Arial" w:hAnsi="Arial" w:cs="Arial"/>
          <w:sz w:val="24"/>
          <w:szCs w:val="24"/>
          <w:lang w:val="es-ES_tradnl"/>
        </w:rPr>
      </w:pPr>
      <w:r w:rsidRPr="00003B13">
        <w:rPr>
          <w:rFonts w:ascii="Arial" w:hAnsi="Arial" w:cs="Arial"/>
          <w:sz w:val="24"/>
          <w:szCs w:val="24"/>
          <w:lang w:val="es-ES_tradnl"/>
        </w:rPr>
        <w:t>Cuenta con facilidades arquitectónicas como:</w:t>
      </w:r>
    </w:p>
    <w:p w14:paraId="0238880D" w14:textId="77777777" w:rsidR="00003B13" w:rsidRDefault="00003B13" w:rsidP="00003B13">
      <w:pPr>
        <w:pStyle w:val="Prrafodelista"/>
        <w:numPr>
          <w:ilvl w:val="0"/>
          <w:numId w:val="21"/>
        </w:numPr>
        <w:jc w:val="both"/>
        <w:rPr>
          <w:rFonts w:ascii="Arial" w:hAnsi="Arial" w:cs="Arial"/>
          <w:sz w:val="24"/>
          <w:szCs w:val="24"/>
        </w:rPr>
      </w:pPr>
      <w:r w:rsidRPr="00A94870">
        <w:rPr>
          <w:rFonts w:ascii="Arial" w:hAnsi="Arial" w:cs="Arial"/>
          <w:sz w:val="24"/>
          <w:szCs w:val="24"/>
        </w:rPr>
        <w:t>Rampas de acceso</w:t>
      </w:r>
      <w:r>
        <w:rPr>
          <w:rFonts w:ascii="Arial" w:hAnsi="Arial" w:cs="Arial"/>
          <w:sz w:val="24"/>
          <w:szCs w:val="24"/>
        </w:rPr>
        <w:t>.</w:t>
      </w:r>
    </w:p>
    <w:p w14:paraId="4DC7FD6A" w14:textId="77777777" w:rsidR="00003B13" w:rsidRDefault="00003B13" w:rsidP="00003B13">
      <w:pPr>
        <w:pStyle w:val="Prrafodelista"/>
        <w:numPr>
          <w:ilvl w:val="0"/>
          <w:numId w:val="21"/>
        </w:numPr>
        <w:jc w:val="both"/>
        <w:rPr>
          <w:rFonts w:ascii="Arial" w:hAnsi="Arial" w:cs="Arial"/>
          <w:sz w:val="24"/>
          <w:szCs w:val="24"/>
        </w:rPr>
      </w:pPr>
      <w:r>
        <w:rPr>
          <w:rFonts w:ascii="Arial" w:hAnsi="Arial" w:cs="Arial"/>
          <w:sz w:val="24"/>
          <w:szCs w:val="24"/>
        </w:rPr>
        <w:t>E</w:t>
      </w:r>
      <w:r w:rsidRPr="00A94870">
        <w:rPr>
          <w:rFonts w:ascii="Arial" w:hAnsi="Arial" w:cs="Arial"/>
          <w:sz w:val="24"/>
          <w:szCs w:val="24"/>
        </w:rPr>
        <w:t>levadores</w:t>
      </w:r>
      <w:r>
        <w:rPr>
          <w:rFonts w:ascii="Arial" w:hAnsi="Arial" w:cs="Arial"/>
          <w:sz w:val="24"/>
          <w:szCs w:val="24"/>
        </w:rPr>
        <w:t>.</w:t>
      </w:r>
    </w:p>
    <w:p w14:paraId="0C51A92D" w14:textId="77777777" w:rsidR="00003B13" w:rsidRDefault="00003B13" w:rsidP="00003B13">
      <w:pPr>
        <w:pStyle w:val="Prrafodelista"/>
        <w:numPr>
          <w:ilvl w:val="0"/>
          <w:numId w:val="21"/>
        </w:numPr>
        <w:jc w:val="both"/>
        <w:rPr>
          <w:rFonts w:ascii="Arial" w:hAnsi="Arial" w:cs="Arial"/>
          <w:sz w:val="24"/>
          <w:szCs w:val="24"/>
        </w:rPr>
      </w:pPr>
      <w:r w:rsidRPr="00A94870">
        <w:rPr>
          <w:rFonts w:ascii="Arial" w:hAnsi="Arial" w:cs="Arial"/>
          <w:sz w:val="24"/>
          <w:szCs w:val="24"/>
        </w:rPr>
        <w:t>Espacios reservados en el estacionamiento</w:t>
      </w:r>
      <w:r>
        <w:rPr>
          <w:rFonts w:ascii="Arial" w:hAnsi="Arial" w:cs="Arial"/>
          <w:sz w:val="24"/>
          <w:szCs w:val="24"/>
        </w:rPr>
        <w:t xml:space="preserve"> para personas con capacidades diferentes.</w:t>
      </w:r>
    </w:p>
    <w:p w14:paraId="33D3C96A" w14:textId="40318799" w:rsidR="00003B13" w:rsidRDefault="00003B13" w:rsidP="00003B13">
      <w:pPr>
        <w:pStyle w:val="Prrafodelista"/>
        <w:numPr>
          <w:ilvl w:val="0"/>
          <w:numId w:val="21"/>
        </w:numPr>
        <w:jc w:val="both"/>
        <w:rPr>
          <w:rFonts w:ascii="Arial" w:hAnsi="Arial" w:cs="Arial"/>
          <w:sz w:val="24"/>
          <w:szCs w:val="24"/>
        </w:rPr>
      </w:pPr>
      <w:r w:rsidRPr="00A94870">
        <w:rPr>
          <w:rFonts w:ascii="Arial" w:hAnsi="Arial" w:cs="Arial"/>
          <w:sz w:val="24"/>
          <w:szCs w:val="24"/>
        </w:rPr>
        <w:t>Señalizaciones respecto de rutas de evacuación y/o cómo actuar en caso de alguna contingencia</w:t>
      </w:r>
      <w:r w:rsidR="000122BA">
        <w:rPr>
          <w:rFonts w:ascii="Arial" w:hAnsi="Arial" w:cs="Arial"/>
          <w:sz w:val="24"/>
          <w:szCs w:val="24"/>
        </w:rPr>
        <w:t>.</w:t>
      </w:r>
    </w:p>
    <w:p w14:paraId="637D734A" w14:textId="1DEA4A4F" w:rsidR="000122BA" w:rsidRDefault="000122BA" w:rsidP="00003B13">
      <w:pPr>
        <w:pStyle w:val="Prrafodelista"/>
        <w:numPr>
          <w:ilvl w:val="0"/>
          <w:numId w:val="21"/>
        </w:numPr>
        <w:jc w:val="both"/>
        <w:rPr>
          <w:rFonts w:ascii="Arial" w:hAnsi="Arial" w:cs="Arial"/>
          <w:sz w:val="24"/>
          <w:szCs w:val="24"/>
        </w:rPr>
      </w:pPr>
      <w:r>
        <w:rPr>
          <w:rFonts w:ascii="Arial" w:hAnsi="Arial" w:cs="Arial"/>
          <w:sz w:val="24"/>
          <w:szCs w:val="24"/>
        </w:rPr>
        <w:t>Guías en el piso para personas con discapacidad visual.</w:t>
      </w:r>
    </w:p>
    <w:p w14:paraId="5EE2A579" w14:textId="77777777" w:rsidR="00003B13" w:rsidRDefault="00003B13" w:rsidP="00003B13">
      <w:pPr>
        <w:pStyle w:val="Prrafodelista"/>
        <w:numPr>
          <w:ilvl w:val="0"/>
          <w:numId w:val="21"/>
        </w:numPr>
        <w:jc w:val="both"/>
        <w:rPr>
          <w:rFonts w:ascii="Arial" w:hAnsi="Arial" w:cs="Arial"/>
          <w:sz w:val="24"/>
          <w:szCs w:val="24"/>
        </w:rPr>
      </w:pPr>
      <w:r w:rsidRPr="00A94870">
        <w:rPr>
          <w:rFonts w:ascii="Arial" w:hAnsi="Arial" w:cs="Arial"/>
          <w:sz w:val="24"/>
          <w:szCs w:val="24"/>
        </w:rPr>
        <w:t>Zonas de menor ries</w:t>
      </w:r>
      <w:r>
        <w:rPr>
          <w:rFonts w:ascii="Arial" w:hAnsi="Arial" w:cs="Arial"/>
          <w:sz w:val="24"/>
          <w:szCs w:val="24"/>
        </w:rPr>
        <w:t>g</w:t>
      </w:r>
      <w:r w:rsidRPr="00A94870">
        <w:rPr>
          <w:rFonts w:ascii="Arial" w:hAnsi="Arial" w:cs="Arial"/>
          <w:sz w:val="24"/>
          <w:szCs w:val="24"/>
        </w:rPr>
        <w:t xml:space="preserve">o; y, </w:t>
      </w:r>
    </w:p>
    <w:p w14:paraId="37F2F51D" w14:textId="1B075EBD" w:rsidR="00003B13" w:rsidRDefault="00003B13" w:rsidP="00003B13">
      <w:pPr>
        <w:pStyle w:val="Prrafodelista"/>
        <w:numPr>
          <w:ilvl w:val="0"/>
          <w:numId w:val="21"/>
        </w:numPr>
        <w:jc w:val="both"/>
        <w:rPr>
          <w:rFonts w:ascii="Arial" w:hAnsi="Arial" w:cs="Arial"/>
          <w:sz w:val="24"/>
          <w:szCs w:val="24"/>
        </w:rPr>
      </w:pPr>
      <w:r w:rsidRPr="00A94870">
        <w:rPr>
          <w:rFonts w:ascii="Arial" w:hAnsi="Arial" w:cs="Arial"/>
          <w:sz w:val="24"/>
          <w:szCs w:val="24"/>
        </w:rPr>
        <w:t>Señalamientos en escritura brai</w:t>
      </w:r>
      <w:r>
        <w:rPr>
          <w:rFonts w:ascii="Arial" w:hAnsi="Arial" w:cs="Arial"/>
          <w:sz w:val="24"/>
          <w:szCs w:val="24"/>
        </w:rPr>
        <w:t>ll</w:t>
      </w:r>
      <w:r w:rsidRPr="00A94870">
        <w:rPr>
          <w:rFonts w:ascii="Arial" w:hAnsi="Arial" w:cs="Arial"/>
          <w:sz w:val="24"/>
          <w:szCs w:val="24"/>
        </w:rPr>
        <w:t>e, entre otras.</w:t>
      </w:r>
    </w:p>
    <w:p w14:paraId="04CA434B" w14:textId="77777777" w:rsidR="00BD689A" w:rsidRPr="00BD689A" w:rsidRDefault="00BD689A" w:rsidP="00BD689A">
      <w:pPr>
        <w:ind w:left="1068"/>
        <w:jc w:val="both"/>
        <w:rPr>
          <w:rFonts w:ascii="Arial" w:hAnsi="Arial" w:cs="Arial"/>
          <w:sz w:val="24"/>
          <w:szCs w:val="24"/>
        </w:rPr>
      </w:pPr>
    </w:p>
    <w:p w14:paraId="7EB2316C" w14:textId="7A8A7D7A" w:rsidR="00003B13" w:rsidRDefault="00003B13" w:rsidP="00765C62">
      <w:pPr>
        <w:spacing w:line="360" w:lineRule="auto"/>
        <w:jc w:val="both"/>
        <w:rPr>
          <w:rFonts w:ascii="Arial" w:hAnsi="Arial" w:cs="Arial"/>
          <w:sz w:val="24"/>
          <w:szCs w:val="24"/>
          <w:lang w:val="es-ES_tradnl"/>
        </w:rPr>
      </w:pPr>
      <w:r w:rsidRPr="00003B13">
        <w:rPr>
          <w:rFonts w:ascii="Arial" w:hAnsi="Arial" w:cs="Arial"/>
          <w:sz w:val="24"/>
          <w:szCs w:val="24"/>
          <w:lang w:val="es-ES_tradnl"/>
        </w:rPr>
        <w:t>Asimismo, a un costado de las oficinas de la Unidad de Transparencia, se encuentra el Servicio Médico, habilitado para brinda</w:t>
      </w:r>
      <w:r w:rsidR="00E21710">
        <w:rPr>
          <w:rFonts w:ascii="Arial" w:hAnsi="Arial" w:cs="Arial"/>
          <w:sz w:val="24"/>
          <w:szCs w:val="24"/>
          <w:lang w:val="es-ES_tradnl"/>
        </w:rPr>
        <w:t>r</w:t>
      </w:r>
      <w:r w:rsidRPr="00003B13">
        <w:rPr>
          <w:rFonts w:ascii="Arial" w:hAnsi="Arial" w:cs="Arial"/>
          <w:sz w:val="24"/>
          <w:szCs w:val="24"/>
          <w:lang w:val="es-ES_tradnl"/>
        </w:rPr>
        <w:t xml:space="preserve"> apoyo profesional para en caso de presentarse alguna emergencia.</w:t>
      </w:r>
    </w:p>
    <w:p w14:paraId="151EFEEA" w14:textId="77777777" w:rsidR="00003B13" w:rsidRPr="00003B13" w:rsidRDefault="00003B13" w:rsidP="00BD689A">
      <w:pPr>
        <w:spacing w:line="360" w:lineRule="auto"/>
        <w:jc w:val="both"/>
        <w:rPr>
          <w:rFonts w:ascii="Arial" w:hAnsi="Arial" w:cs="Arial"/>
          <w:sz w:val="24"/>
          <w:szCs w:val="24"/>
          <w:lang w:val="es-ES_tradnl"/>
        </w:rPr>
      </w:pPr>
      <w:r w:rsidRPr="00003B13">
        <w:rPr>
          <w:rFonts w:ascii="Arial" w:hAnsi="Arial" w:cs="Arial"/>
          <w:sz w:val="24"/>
          <w:szCs w:val="24"/>
          <w:lang w:val="es-ES_tradnl"/>
        </w:rPr>
        <w:t xml:space="preserve">Medidas de accesibilidad y seguridad que también se encuentran habilitadas en los diversos inmuebles que Administra el Consejo de la Judicatura Federal y se tienen </w:t>
      </w:r>
      <w:r w:rsidRPr="00003B13">
        <w:rPr>
          <w:rFonts w:ascii="Arial" w:hAnsi="Arial" w:cs="Arial"/>
          <w:sz w:val="24"/>
          <w:szCs w:val="24"/>
          <w:lang w:val="es-ES_tradnl"/>
        </w:rPr>
        <w:lastRenderedPageBreak/>
        <w:t>aproximadamente 700 letreros en formato braille para buzones judiciales y se han distribuido 500 sillas de ruedas para su uso en los diferentes inmuebles.</w:t>
      </w:r>
    </w:p>
    <w:p w14:paraId="4CB311EE" w14:textId="57E7D4E3" w:rsidR="003D3403" w:rsidRDefault="003D3403" w:rsidP="00765C62">
      <w:pPr>
        <w:spacing w:line="360" w:lineRule="auto"/>
        <w:jc w:val="both"/>
        <w:rPr>
          <w:rFonts w:ascii="Arial" w:hAnsi="Arial" w:cs="Arial"/>
          <w:sz w:val="24"/>
          <w:szCs w:val="24"/>
          <w:lang w:val="es-ES_tradnl"/>
        </w:rPr>
      </w:pPr>
    </w:p>
    <w:tbl>
      <w:tblPr>
        <w:tblStyle w:val="Tablaconcuadrcula"/>
        <w:tblW w:w="8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135F"/>
        <w:tblLook w:val="04A0" w:firstRow="1" w:lastRow="0" w:firstColumn="1" w:lastColumn="0" w:noHBand="0" w:noVBand="1"/>
      </w:tblPr>
      <w:tblGrid>
        <w:gridCol w:w="8927"/>
      </w:tblGrid>
      <w:tr w:rsidR="00667038" w:rsidRPr="00202977" w14:paraId="7070FC23" w14:textId="77777777" w:rsidTr="003D3403">
        <w:trPr>
          <w:trHeight w:val="1748"/>
        </w:trPr>
        <w:tc>
          <w:tcPr>
            <w:tcW w:w="8927" w:type="dxa"/>
            <w:shd w:val="clear" w:color="auto" w:fill="24135F"/>
            <w:vAlign w:val="center"/>
          </w:tcPr>
          <w:p w14:paraId="15F1986B" w14:textId="77777777" w:rsidR="00667038" w:rsidRPr="00202977" w:rsidRDefault="0001674F" w:rsidP="008D5B38">
            <w:pPr>
              <w:jc w:val="both"/>
              <w:rPr>
                <w:rFonts w:ascii="Arial" w:hAnsi="Arial" w:cs="Arial"/>
                <w:b/>
                <w:sz w:val="24"/>
                <w:szCs w:val="24"/>
                <w:lang w:val="es-ES_tradnl"/>
              </w:rPr>
            </w:pPr>
            <w:r w:rsidRPr="0001674F">
              <w:rPr>
                <w:rFonts w:ascii="Arial" w:hAnsi="Arial" w:cs="Arial"/>
                <w:b/>
                <w:sz w:val="24"/>
                <w:szCs w:val="24"/>
                <w:lang w:val="es-ES_tradnl"/>
              </w:rPr>
              <w:t>FRACCIÓN II.- Diseño y distribución de información en formatos accesibles (folletos, trípticos, carteles, audiolibros y otros materiales de divulgación)</w:t>
            </w:r>
            <w:r>
              <w:rPr>
                <w:rFonts w:ascii="Arial" w:hAnsi="Arial" w:cs="Arial"/>
                <w:b/>
                <w:sz w:val="24"/>
                <w:szCs w:val="24"/>
                <w:lang w:val="es-ES_tradnl"/>
              </w:rPr>
              <w:t>.</w:t>
            </w:r>
          </w:p>
        </w:tc>
      </w:tr>
    </w:tbl>
    <w:p w14:paraId="3985BE8E" w14:textId="77777777" w:rsidR="00667038" w:rsidRPr="00202977" w:rsidRDefault="00667038" w:rsidP="00BD689A">
      <w:pPr>
        <w:spacing w:line="360" w:lineRule="auto"/>
        <w:jc w:val="both"/>
        <w:rPr>
          <w:rFonts w:ascii="Arial" w:hAnsi="Arial" w:cs="Arial"/>
          <w:sz w:val="24"/>
          <w:szCs w:val="24"/>
          <w:lang w:val="es-ES_tradnl"/>
        </w:rPr>
      </w:pPr>
    </w:p>
    <w:p w14:paraId="2C7492CF" w14:textId="2133108C" w:rsidR="00003B13" w:rsidRDefault="00003B13" w:rsidP="00BD689A">
      <w:pPr>
        <w:spacing w:line="360" w:lineRule="auto"/>
        <w:jc w:val="both"/>
        <w:rPr>
          <w:rFonts w:ascii="Arial" w:hAnsi="Arial" w:cs="Arial"/>
          <w:sz w:val="24"/>
          <w:szCs w:val="24"/>
        </w:rPr>
      </w:pPr>
      <w:r>
        <w:rPr>
          <w:rFonts w:ascii="Arial" w:hAnsi="Arial" w:cs="Arial"/>
          <w:sz w:val="24"/>
          <w:szCs w:val="24"/>
        </w:rPr>
        <w:t>La adquisición de una impresora braille en el mes de diciembre de 2020, gestionada por la Unidad de Transparencia, ha significado una herramienta importante, para atender requerimientos de la ciudadanía, principalmente de personas en situación de vulnerabilidad por una discapacidad visual.</w:t>
      </w:r>
    </w:p>
    <w:p w14:paraId="0F30EA9D" w14:textId="2AA13473" w:rsidR="00003B13" w:rsidRDefault="00003B13" w:rsidP="00BD689A">
      <w:pPr>
        <w:spacing w:line="360" w:lineRule="auto"/>
        <w:jc w:val="both"/>
        <w:rPr>
          <w:rFonts w:ascii="Arial" w:hAnsi="Arial" w:cs="Arial"/>
          <w:sz w:val="24"/>
          <w:szCs w:val="24"/>
        </w:rPr>
      </w:pPr>
      <w:r>
        <w:rPr>
          <w:rFonts w:ascii="Arial" w:hAnsi="Arial" w:cs="Arial"/>
          <w:sz w:val="24"/>
          <w:szCs w:val="24"/>
        </w:rPr>
        <w:t>Se realizó la campaña “</w:t>
      </w:r>
      <w:r w:rsidRPr="008F4E55">
        <w:rPr>
          <w:rFonts w:ascii="Arial" w:hAnsi="Arial" w:cs="Arial"/>
          <w:i/>
          <w:iCs/>
          <w:sz w:val="24"/>
          <w:szCs w:val="24"/>
        </w:rPr>
        <w:t>Solicita la impresión de constancias a escritura Braille: ajuste razonable en el Consejo</w:t>
      </w:r>
      <w:r>
        <w:rPr>
          <w:rFonts w:ascii="Arial" w:hAnsi="Arial" w:cs="Arial"/>
          <w:sz w:val="24"/>
          <w:szCs w:val="24"/>
        </w:rPr>
        <w:t>”, con la finalidad de garantizar el acceso a la justicia de las personas con discapacidad visual; herramienta que se encuentra a disposición tanto de órganos jurisdiccionales como áreas administrativas, para atender cualquier solicitud por parte de la ciudadanía.</w:t>
      </w:r>
    </w:p>
    <w:p w14:paraId="3AFB23F2" w14:textId="77777777" w:rsidR="00003B13" w:rsidRDefault="00003B13" w:rsidP="00BD689A">
      <w:pPr>
        <w:spacing w:line="360" w:lineRule="auto"/>
        <w:jc w:val="both"/>
        <w:rPr>
          <w:rFonts w:ascii="Arial" w:hAnsi="Arial" w:cs="Arial"/>
          <w:sz w:val="24"/>
          <w:szCs w:val="24"/>
        </w:rPr>
      </w:pPr>
      <w:r>
        <w:rPr>
          <w:rFonts w:ascii="Arial" w:hAnsi="Arial" w:cs="Arial"/>
          <w:sz w:val="24"/>
          <w:szCs w:val="24"/>
        </w:rPr>
        <w:t xml:space="preserve">La difusión de esta herramienta al servicio de la comunidad se ha realizado por diferentes medios electrónicos y ha traído como resultado, la impresión de </w:t>
      </w:r>
      <w:r w:rsidRPr="007D4AFE">
        <w:rPr>
          <w:rFonts w:ascii="Arial" w:hAnsi="Arial" w:cs="Arial"/>
          <w:b/>
          <w:bCs/>
          <w:sz w:val="24"/>
          <w:szCs w:val="24"/>
        </w:rPr>
        <w:t xml:space="preserve">cuarenta y nueve </w:t>
      </w:r>
      <w:r>
        <w:rPr>
          <w:rFonts w:ascii="Arial" w:hAnsi="Arial" w:cs="Arial"/>
          <w:sz w:val="24"/>
          <w:szCs w:val="24"/>
        </w:rPr>
        <w:t>documentos que han sido puestos a disposición de los peticionarios en forma gratuita.</w:t>
      </w:r>
    </w:p>
    <w:p w14:paraId="7B84976D" w14:textId="4F9EC65E" w:rsidR="00003B13" w:rsidRDefault="00003B13" w:rsidP="00BD689A">
      <w:pPr>
        <w:spacing w:line="360" w:lineRule="auto"/>
        <w:jc w:val="both"/>
        <w:rPr>
          <w:rFonts w:ascii="Arial" w:hAnsi="Arial" w:cs="Arial"/>
          <w:sz w:val="24"/>
          <w:szCs w:val="24"/>
        </w:rPr>
      </w:pPr>
      <w:r>
        <w:rPr>
          <w:rFonts w:ascii="Arial" w:hAnsi="Arial" w:cs="Arial"/>
          <w:sz w:val="24"/>
          <w:szCs w:val="24"/>
        </w:rPr>
        <w:t>Por otra parte, en el portal de Transparencia del Consejo de la Judicatura Federal, particularmente en la página identificada como “Protección de Datos Personales” existen los videos siguientes:</w:t>
      </w:r>
    </w:p>
    <w:p w14:paraId="28B22D0E" w14:textId="77777777" w:rsidR="00003B13" w:rsidRDefault="00003B13" w:rsidP="00003B13">
      <w:pPr>
        <w:pStyle w:val="Prrafodelista"/>
        <w:numPr>
          <w:ilvl w:val="0"/>
          <w:numId w:val="22"/>
        </w:numPr>
        <w:jc w:val="both"/>
        <w:rPr>
          <w:rFonts w:ascii="Arial" w:hAnsi="Arial" w:cs="Arial"/>
          <w:sz w:val="24"/>
          <w:szCs w:val="24"/>
        </w:rPr>
      </w:pPr>
      <w:r w:rsidRPr="00F46EC3">
        <w:rPr>
          <w:rFonts w:ascii="Arial" w:hAnsi="Arial" w:cs="Arial"/>
          <w:sz w:val="24"/>
          <w:szCs w:val="24"/>
        </w:rPr>
        <w:t>¿Qué es un dato personal y un dato personal sensible en un expediente jurisdiccional?</w:t>
      </w:r>
    </w:p>
    <w:p w14:paraId="567740AF" w14:textId="77777777" w:rsidR="00003B13" w:rsidRPr="00F46EC3" w:rsidRDefault="00003B13" w:rsidP="00003B13">
      <w:pPr>
        <w:pStyle w:val="Prrafodelista"/>
        <w:ind w:left="1068"/>
        <w:jc w:val="both"/>
        <w:rPr>
          <w:rFonts w:ascii="Arial" w:hAnsi="Arial" w:cs="Arial"/>
          <w:sz w:val="24"/>
          <w:szCs w:val="24"/>
        </w:rPr>
      </w:pPr>
    </w:p>
    <w:p w14:paraId="37F9682B" w14:textId="5C30016E" w:rsidR="00003B13" w:rsidRDefault="00003B13" w:rsidP="00003B13">
      <w:pPr>
        <w:pStyle w:val="Prrafodelista"/>
        <w:numPr>
          <w:ilvl w:val="0"/>
          <w:numId w:val="22"/>
        </w:numPr>
        <w:jc w:val="both"/>
        <w:rPr>
          <w:rFonts w:ascii="Arial" w:hAnsi="Arial" w:cs="Arial"/>
          <w:sz w:val="24"/>
          <w:szCs w:val="24"/>
        </w:rPr>
      </w:pPr>
      <w:r w:rsidRPr="00F46EC3">
        <w:rPr>
          <w:rFonts w:ascii="Arial" w:hAnsi="Arial" w:cs="Arial"/>
          <w:sz w:val="24"/>
          <w:szCs w:val="24"/>
        </w:rPr>
        <w:t>¿Cómo opera la publicidad de las audiencias en el sistema penal acusatorio?</w:t>
      </w:r>
    </w:p>
    <w:p w14:paraId="637FD5E1" w14:textId="77777777" w:rsidR="00BD689A" w:rsidRPr="00BD689A" w:rsidRDefault="00BD689A" w:rsidP="00BD689A">
      <w:pPr>
        <w:pStyle w:val="Prrafodelista"/>
        <w:ind w:left="1068"/>
        <w:jc w:val="both"/>
        <w:rPr>
          <w:rFonts w:ascii="Arial" w:hAnsi="Arial" w:cs="Arial"/>
          <w:sz w:val="24"/>
          <w:szCs w:val="24"/>
        </w:rPr>
      </w:pPr>
    </w:p>
    <w:p w14:paraId="761E175A" w14:textId="33582473" w:rsidR="00003B13" w:rsidRDefault="00003B13" w:rsidP="00BD689A">
      <w:pPr>
        <w:spacing w:line="360" w:lineRule="auto"/>
        <w:jc w:val="both"/>
        <w:rPr>
          <w:rFonts w:ascii="Arial" w:hAnsi="Arial" w:cs="Arial"/>
          <w:sz w:val="24"/>
          <w:szCs w:val="24"/>
        </w:rPr>
      </w:pPr>
      <w:r>
        <w:rPr>
          <w:rFonts w:ascii="Arial" w:hAnsi="Arial" w:cs="Arial"/>
          <w:sz w:val="24"/>
          <w:szCs w:val="24"/>
        </w:rPr>
        <w:t xml:space="preserve">También, se encuentran publicados los siguientes documentos: </w:t>
      </w:r>
    </w:p>
    <w:p w14:paraId="7B72E0D0" w14:textId="77777777" w:rsidR="00003B13" w:rsidRDefault="00003B13" w:rsidP="00003B13">
      <w:pPr>
        <w:pStyle w:val="Prrafodelista"/>
        <w:numPr>
          <w:ilvl w:val="0"/>
          <w:numId w:val="22"/>
        </w:numPr>
        <w:jc w:val="both"/>
        <w:rPr>
          <w:rFonts w:ascii="Arial" w:hAnsi="Arial" w:cs="Arial"/>
          <w:sz w:val="24"/>
          <w:szCs w:val="24"/>
        </w:rPr>
      </w:pPr>
      <w:r w:rsidRPr="00C521A2">
        <w:rPr>
          <w:rFonts w:ascii="Arial" w:hAnsi="Arial" w:cs="Arial"/>
          <w:sz w:val="24"/>
          <w:szCs w:val="24"/>
        </w:rPr>
        <w:t>Guía para el tratamiento de datos personales de víctimas de violencia de género.</w:t>
      </w:r>
    </w:p>
    <w:p w14:paraId="012774FE" w14:textId="77777777" w:rsidR="00003B13" w:rsidRDefault="00003B13" w:rsidP="00003B13">
      <w:pPr>
        <w:pStyle w:val="Prrafodelista"/>
        <w:ind w:left="1068"/>
        <w:jc w:val="both"/>
        <w:rPr>
          <w:rFonts w:ascii="Arial" w:hAnsi="Arial" w:cs="Arial"/>
          <w:sz w:val="24"/>
          <w:szCs w:val="24"/>
        </w:rPr>
      </w:pPr>
    </w:p>
    <w:p w14:paraId="61BFD743" w14:textId="77777777" w:rsidR="00003B13" w:rsidRDefault="00003B13" w:rsidP="00003B13">
      <w:pPr>
        <w:pStyle w:val="Prrafodelista"/>
        <w:numPr>
          <w:ilvl w:val="0"/>
          <w:numId w:val="22"/>
        </w:numPr>
        <w:jc w:val="both"/>
        <w:rPr>
          <w:rFonts w:ascii="Arial" w:hAnsi="Arial" w:cs="Arial"/>
          <w:sz w:val="24"/>
          <w:szCs w:val="24"/>
        </w:rPr>
      </w:pPr>
      <w:r w:rsidRPr="00C521A2">
        <w:rPr>
          <w:rFonts w:ascii="Arial" w:hAnsi="Arial" w:cs="Arial"/>
          <w:sz w:val="24"/>
          <w:szCs w:val="24"/>
        </w:rPr>
        <w:t>Pautas para la protección de datos personales por instancias administrativas.</w:t>
      </w:r>
    </w:p>
    <w:p w14:paraId="17B21EE1" w14:textId="77777777" w:rsidR="00003B13" w:rsidRPr="00C521A2" w:rsidRDefault="00003B13" w:rsidP="00BD689A">
      <w:pPr>
        <w:pStyle w:val="Prrafodelista"/>
        <w:ind w:left="1068"/>
        <w:jc w:val="both"/>
        <w:rPr>
          <w:rFonts w:ascii="Arial" w:hAnsi="Arial" w:cs="Arial"/>
          <w:sz w:val="24"/>
          <w:szCs w:val="24"/>
        </w:rPr>
      </w:pPr>
    </w:p>
    <w:p w14:paraId="27574E25" w14:textId="2A81DA5B" w:rsidR="00003B13" w:rsidRDefault="00003B13" w:rsidP="00003B13">
      <w:pPr>
        <w:pStyle w:val="Prrafodelista"/>
        <w:numPr>
          <w:ilvl w:val="0"/>
          <w:numId w:val="22"/>
        </w:numPr>
        <w:jc w:val="both"/>
        <w:rPr>
          <w:rFonts w:ascii="Arial" w:hAnsi="Arial" w:cs="Arial"/>
          <w:sz w:val="24"/>
          <w:szCs w:val="24"/>
        </w:rPr>
      </w:pPr>
      <w:r w:rsidRPr="00C521A2">
        <w:rPr>
          <w:rFonts w:ascii="Arial" w:hAnsi="Arial" w:cs="Arial"/>
          <w:sz w:val="24"/>
          <w:szCs w:val="24"/>
        </w:rPr>
        <w:t>Infografía “Las mujeres y la protección de sus datos personales”.</w:t>
      </w:r>
    </w:p>
    <w:p w14:paraId="52A28D54" w14:textId="77777777" w:rsidR="00BD689A" w:rsidRPr="00BD689A" w:rsidRDefault="00BD689A" w:rsidP="00BD689A">
      <w:pPr>
        <w:jc w:val="both"/>
        <w:rPr>
          <w:rFonts w:ascii="Arial" w:hAnsi="Arial" w:cs="Arial"/>
          <w:sz w:val="24"/>
          <w:szCs w:val="24"/>
        </w:rPr>
      </w:pPr>
    </w:p>
    <w:p w14:paraId="5B5DA1F4" w14:textId="51101D5A" w:rsidR="00003B13" w:rsidRDefault="00003B13" w:rsidP="00BD689A">
      <w:pPr>
        <w:spacing w:line="360" w:lineRule="auto"/>
        <w:jc w:val="both"/>
        <w:rPr>
          <w:rFonts w:ascii="Arial" w:hAnsi="Arial" w:cs="Arial"/>
          <w:sz w:val="24"/>
          <w:szCs w:val="24"/>
        </w:rPr>
      </w:pPr>
      <w:r>
        <w:rPr>
          <w:rFonts w:ascii="Arial" w:hAnsi="Arial" w:cs="Arial"/>
          <w:sz w:val="24"/>
          <w:szCs w:val="24"/>
        </w:rPr>
        <w:t xml:space="preserve">Información que se encuentra </w:t>
      </w:r>
      <w:r w:rsidR="009D55D0">
        <w:rPr>
          <w:rFonts w:ascii="Arial" w:hAnsi="Arial" w:cs="Arial"/>
          <w:sz w:val="24"/>
          <w:szCs w:val="24"/>
        </w:rPr>
        <w:t>disponible a</w:t>
      </w:r>
      <w:r>
        <w:rPr>
          <w:rFonts w:ascii="Arial" w:hAnsi="Arial" w:cs="Arial"/>
          <w:sz w:val="24"/>
          <w:szCs w:val="24"/>
        </w:rPr>
        <w:t xml:space="preserve"> la sociedad y que, en caso de requerir alguna precisión o aclaración al respecto o sobre algún otro tópico, se encuentra a su disposición el directorio del personal adscrito a la Unidad de Transparencia, a efecto de que puedan realizar cualquier consulta.</w:t>
      </w:r>
    </w:p>
    <w:p w14:paraId="321AF68B" w14:textId="77777777" w:rsidR="00003B13" w:rsidRDefault="00003B13" w:rsidP="00003B13">
      <w:pPr>
        <w:jc w:val="both"/>
        <w:rPr>
          <w:rFonts w:ascii="Arial" w:hAnsi="Arial" w:cs="Arial"/>
          <w:sz w:val="24"/>
          <w:szCs w:val="24"/>
        </w:rPr>
      </w:pPr>
    </w:p>
    <w:tbl>
      <w:tblPr>
        <w:tblStyle w:val="Tablaconcuadrcula"/>
        <w:tblW w:w="8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135F"/>
        <w:tblLook w:val="04A0" w:firstRow="1" w:lastRow="0" w:firstColumn="1" w:lastColumn="0" w:noHBand="0" w:noVBand="1"/>
      </w:tblPr>
      <w:tblGrid>
        <w:gridCol w:w="8911"/>
      </w:tblGrid>
      <w:tr w:rsidR="00667038" w:rsidRPr="00202977" w14:paraId="779E0308" w14:textId="77777777" w:rsidTr="00EF12F6">
        <w:trPr>
          <w:trHeight w:val="1468"/>
        </w:trPr>
        <w:tc>
          <w:tcPr>
            <w:tcW w:w="8911" w:type="dxa"/>
            <w:shd w:val="clear" w:color="auto" w:fill="24135F"/>
            <w:vAlign w:val="center"/>
          </w:tcPr>
          <w:p w14:paraId="35256B9C" w14:textId="77777777" w:rsidR="00667038" w:rsidRPr="00202977" w:rsidRDefault="008D5B38" w:rsidP="008D5B38">
            <w:pPr>
              <w:jc w:val="both"/>
              <w:rPr>
                <w:rFonts w:ascii="Arial" w:hAnsi="Arial" w:cs="Arial"/>
                <w:b/>
                <w:sz w:val="24"/>
                <w:szCs w:val="24"/>
                <w:lang w:val="es-ES_tradnl"/>
              </w:rPr>
            </w:pPr>
            <w:r w:rsidRPr="008D5B38">
              <w:rPr>
                <w:rFonts w:ascii="Arial" w:hAnsi="Arial" w:cs="Arial"/>
                <w:b/>
                <w:sz w:val="24"/>
                <w:szCs w:val="24"/>
                <w:lang w:val="es-ES_tradnl"/>
              </w:rPr>
              <w:t>FRACCIÓN III.- Uso de intérpretes de lenguas indígenas y de Lengua de Señas</w:t>
            </w:r>
            <w:r>
              <w:rPr>
                <w:rFonts w:ascii="Arial" w:hAnsi="Arial" w:cs="Arial"/>
                <w:b/>
                <w:sz w:val="24"/>
                <w:szCs w:val="24"/>
                <w:lang w:val="es-ES_tradnl"/>
              </w:rPr>
              <w:t>.</w:t>
            </w:r>
          </w:p>
        </w:tc>
      </w:tr>
    </w:tbl>
    <w:p w14:paraId="03E72F10" w14:textId="328506D5" w:rsidR="00667038" w:rsidRDefault="00667038" w:rsidP="00BD689A">
      <w:pPr>
        <w:spacing w:line="360" w:lineRule="auto"/>
        <w:jc w:val="both"/>
        <w:rPr>
          <w:rFonts w:ascii="Arial" w:hAnsi="Arial" w:cs="Arial"/>
          <w:sz w:val="24"/>
          <w:szCs w:val="24"/>
        </w:rPr>
      </w:pPr>
    </w:p>
    <w:p w14:paraId="41D429CC" w14:textId="77777777" w:rsidR="00003B13" w:rsidRDefault="00003B13" w:rsidP="00BD689A">
      <w:pPr>
        <w:spacing w:line="360" w:lineRule="auto"/>
        <w:jc w:val="both"/>
        <w:rPr>
          <w:rFonts w:ascii="Arial" w:hAnsi="Arial" w:cs="Arial"/>
          <w:sz w:val="24"/>
          <w:szCs w:val="24"/>
        </w:rPr>
      </w:pPr>
      <w:r>
        <w:rPr>
          <w:rFonts w:ascii="Arial" w:hAnsi="Arial" w:cs="Arial"/>
          <w:sz w:val="24"/>
          <w:szCs w:val="24"/>
        </w:rPr>
        <w:t>Si bien, la Unidad de Transparencia es el vínculo de acceso a la información entre la ciudadanía y los órganos jurisdiccionales y áreas administrativas que conforman al Consejo de la Judicatura Federal; es a través del Instituto Federal de Defensoría Pública que se brinda el servicio de defensa y asesoría a las personas pertenecientes a grupos y comunidades indígenas y es este órgano auxiliar del Consejo, que cuenta con la infraestructura institucional para apoyar en dichas tareas, es decir, cuenta con personal bilingüe que brinda asesoría jurídica, interpretación y traducción en lenguas indígenas.</w:t>
      </w:r>
    </w:p>
    <w:p w14:paraId="7E41FFD4" w14:textId="5E344DC5" w:rsidR="000A6CAD" w:rsidRDefault="005036FE" w:rsidP="005036FE">
      <w:pPr>
        <w:spacing w:line="360" w:lineRule="auto"/>
        <w:jc w:val="both"/>
        <w:rPr>
          <w:rFonts w:ascii="Arial" w:hAnsi="Arial" w:cs="Arial"/>
          <w:sz w:val="24"/>
          <w:szCs w:val="24"/>
        </w:rPr>
      </w:pPr>
      <w:r w:rsidRPr="005036FE">
        <w:rPr>
          <w:rFonts w:ascii="Arial" w:hAnsi="Arial" w:cs="Arial"/>
          <w:sz w:val="24"/>
          <w:szCs w:val="24"/>
        </w:rPr>
        <w:t>No obstante lo anterior, y con la finalidad de garantizar que las personas que se comunican a través de una lengua indígena</w:t>
      </w:r>
      <w:r>
        <w:rPr>
          <w:rFonts w:ascii="Arial" w:hAnsi="Arial" w:cs="Arial"/>
          <w:sz w:val="24"/>
          <w:szCs w:val="24"/>
        </w:rPr>
        <w:t>,</w:t>
      </w:r>
      <w:r w:rsidRPr="005036FE">
        <w:rPr>
          <w:rFonts w:ascii="Arial" w:hAnsi="Arial" w:cs="Arial"/>
          <w:sz w:val="24"/>
          <w:szCs w:val="24"/>
        </w:rPr>
        <w:t xml:space="preserve"> se encuentren en oportunidad de ejercer </w:t>
      </w:r>
      <w:r>
        <w:rPr>
          <w:rFonts w:ascii="Arial" w:hAnsi="Arial" w:cs="Arial"/>
          <w:sz w:val="24"/>
          <w:szCs w:val="24"/>
        </w:rPr>
        <w:t xml:space="preserve">el derecho de acceso a la información y protección de datos personales </w:t>
      </w:r>
      <w:r w:rsidRPr="005036FE">
        <w:rPr>
          <w:rFonts w:ascii="Arial" w:hAnsi="Arial" w:cs="Arial"/>
          <w:sz w:val="24"/>
          <w:szCs w:val="24"/>
        </w:rPr>
        <w:t xml:space="preserve">en </w:t>
      </w:r>
      <w:r w:rsidRPr="005036FE">
        <w:rPr>
          <w:rFonts w:ascii="Arial" w:hAnsi="Arial" w:cs="Arial"/>
          <w:sz w:val="24"/>
          <w:szCs w:val="24"/>
        </w:rPr>
        <w:lastRenderedPageBreak/>
        <w:t>igualdad de condiciones</w:t>
      </w:r>
      <w:r>
        <w:rPr>
          <w:rFonts w:ascii="Arial" w:hAnsi="Arial" w:cs="Arial"/>
          <w:sz w:val="24"/>
          <w:szCs w:val="24"/>
        </w:rPr>
        <w:t xml:space="preserve">, </w:t>
      </w:r>
      <w:r w:rsidRPr="005036FE">
        <w:rPr>
          <w:rFonts w:ascii="Arial" w:hAnsi="Arial" w:cs="Arial"/>
          <w:sz w:val="24"/>
          <w:szCs w:val="24"/>
        </w:rPr>
        <w:t xml:space="preserve">la Unidad de Transparencia </w:t>
      </w:r>
      <w:r>
        <w:rPr>
          <w:rFonts w:ascii="Arial" w:hAnsi="Arial" w:cs="Arial"/>
          <w:sz w:val="24"/>
          <w:szCs w:val="24"/>
        </w:rPr>
        <w:t xml:space="preserve">solicitará </w:t>
      </w:r>
      <w:r w:rsidRPr="005036FE">
        <w:rPr>
          <w:rFonts w:ascii="Arial" w:hAnsi="Arial" w:cs="Arial"/>
          <w:sz w:val="24"/>
          <w:szCs w:val="24"/>
        </w:rPr>
        <w:t xml:space="preserve">auxilio para su interpretación y/o redacción al Instituto Federal de Defensoría Pública quien, atendiendo a las cargas de trabajo de su personal bilingüe, </w:t>
      </w:r>
      <w:r w:rsidR="00C6017D">
        <w:rPr>
          <w:rFonts w:ascii="Arial" w:hAnsi="Arial" w:cs="Arial"/>
          <w:sz w:val="24"/>
          <w:szCs w:val="24"/>
        </w:rPr>
        <w:t>podrá colaborar</w:t>
      </w:r>
      <w:r w:rsidRPr="005036FE">
        <w:rPr>
          <w:rFonts w:ascii="Arial" w:hAnsi="Arial" w:cs="Arial"/>
          <w:sz w:val="24"/>
          <w:szCs w:val="24"/>
        </w:rPr>
        <w:t xml:space="preserve"> en la traducción e interpretación correspondiente.</w:t>
      </w:r>
    </w:p>
    <w:p w14:paraId="1A62BC6C" w14:textId="77777777" w:rsidR="005036FE" w:rsidRPr="005036FE" w:rsidRDefault="005036FE" w:rsidP="005036FE">
      <w:pPr>
        <w:spacing w:line="360" w:lineRule="auto"/>
        <w:jc w:val="both"/>
        <w:rPr>
          <w:rFonts w:ascii="Arial" w:hAnsi="Arial" w:cs="Arial"/>
          <w:sz w:val="24"/>
          <w:szCs w:val="24"/>
        </w:rPr>
      </w:pPr>
    </w:p>
    <w:tbl>
      <w:tblPr>
        <w:tblStyle w:val="Tablaconcuadrcula"/>
        <w:tblW w:w="9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135F"/>
        <w:tblLook w:val="04A0" w:firstRow="1" w:lastRow="0" w:firstColumn="1" w:lastColumn="0" w:noHBand="0" w:noVBand="1"/>
      </w:tblPr>
      <w:tblGrid>
        <w:gridCol w:w="9078"/>
      </w:tblGrid>
      <w:tr w:rsidR="008D5B38" w:rsidRPr="00202977" w14:paraId="3622DCFA" w14:textId="77777777" w:rsidTr="00EF12F6">
        <w:trPr>
          <w:trHeight w:val="1408"/>
        </w:trPr>
        <w:tc>
          <w:tcPr>
            <w:tcW w:w="9078" w:type="dxa"/>
            <w:shd w:val="clear" w:color="auto" w:fill="24135F"/>
            <w:vAlign w:val="center"/>
          </w:tcPr>
          <w:p w14:paraId="38FBFCED" w14:textId="77777777" w:rsidR="008D5B38" w:rsidRPr="00202977" w:rsidRDefault="008D5B38" w:rsidP="008D5B38">
            <w:pPr>
              <w:jc w:val="both"/>
              <w:rPr>
                <w:rFonts w:ascii="Arial" w:hAnsi="Arial" w:cs="Arial"/>
                <w:b/>
                <w:sz w:val="24"/>
                <w:szCs w:val="24"/>
                <w:lang w:val="es-ES_tradnl"/>
              </w:rPr>
            </w:pPr>
            <w:r w:rsidRPr="008D5B38">
              <w:rPr>
                <w:rFonts w:ascii="Arial" w:hAnsi="Arial" w:cs="Arial"/>
                <w:b/>
                <w:sz w:val="24"/>
                <w:szCs w:val="24"/>
                <w:lang w:val="es-ES_tradnl"/>
              </w:rPr>
              <w:t>FRACCIÓN IV.- Asesorar de manera presencial o a través de medios para atender a las personas a distancia</w:t>
            </w:r>
            <w:r>
              <w:rPr>
                <w:rFonts w:ascii="Arial" w:hAnsi="Arial" w:cs="Arial"/>
                <w:b/>
                <w:sz w:val="24"/>
                <w:szCs w:val="24"/>
                <w:lang w:val="es-ES_tradnl"/>
              </w:rPr>
              <w:t>.</w:t>
            </w:r>
          </w:p>
        </w:tc>
      </w:tr>
    </w:tbl>
    <w:p w14:paraId="7284243B" w14:textId="77777777" w:rsidR="008D5B38" w:rsidRPr="00003B13" w:rsidRDefault="008D5B38" w:rsidP="00667038">
      <w:pPr>
        <w:jc w:val="both"/>
        <w:rPr>
          <w:rFonts w:ascii="Arial" w:hAnsi="Arial" w:cs="Arial"/>
          <w:bCs/>
          <w:sz w:val="24"/>
          <w:szCs w:val="24"/>
          <w:u w:val="single"/>
          <w:lang w:val="es-ES_tradnl"/>
        </w:rPr>
      </w:pPr>
    </w:p>
    <w:p w14:paraId="2E136077" w14:textId="6D8F124A" w:rsidR="00003B13" w:rsidRDefault="00003B13" w:rsidP="00BD689A">
      <w:pPr>
        <w:spacing w:line="360" w:lineRule="auto"/>
        <w:jc w:val="both"/>
        <w:rPr>
          <w:rFonts w:ascii="Arial" w:hAnsi="Arial" w:cs="Arial"/>
          <w:sz w:val="24"/>
          <w:szCs w:val="24"/>
        </w:rPr>
      </w:pPr>
      <w:r>
        <w:rPr>
          <w:rFonts w:ascii="Arial" w:hAnsi="Arial" w:cs="Arial"/>
          <w:sz w:val="24"/>
          <w:szCs w:val="24"/>
        </w:rPr>
        <w:t>La Unidad de Transparencia cuenta con la infraestructura física y electrónica necesaria, para brindar la asesoría presencial y a distancia (correo electrónico y línea telefónica) a la comunidad en general y especialmente a las personas que se encuentran en situación de vulnerabilidad.</w:t>
      </w:r>
    </w:p>
    <w:p w14:paraId="386888C7" w14:textId="4FC48270" w:rsidR="00003B13" w:rsidRDefault="00003B13" w:rsidP="00BD689A">
      <w:pPr>
        <w:spacing w:line="360" w:lineRule="auto"/>
        <w:jc w:val="both"/>
        <w:rPr>
          <w:rFonts w:ascii="Arial" w:hAnsi="Arial" w:cs="Arial"/>
          <w:sz w:val="24"/>
          <w:szCs w:val="24"/>
        </w:rPr>
      </w:pPr>
      <w:r>
        <w:rPr>
          <w:rFonts w:ascii="Arial" w:hAnsi="Arial" w:cs="Arial"/>
          <w:sz w:val="24"/>
          <w:szCs w:val="24"/>
        </w:rPr>
        <w:t>Para ello, el personal participa en programas de capacitación y sensibilización</w:t>
      </w:r>
      <w:r w:rsidR="00E21710">
        <w:rPr>
          <w:rFonts w:ascii="Arial" w:hAnsi="Arial" w:cs="Arial"/>
          <w:sz w:val="24"/>
          <w:szCs w:val="24"/>
        </w:rPr>
        <w:t xml:space="preserve">, lo que </w:t>
      </w:r>
      <w:r w:rsidR="009D55D0" w:rsidRPr="009D55D0">
        <w:rPr>
          <w:rFonts w:ascii="Arial" w:hAnsi="Arial" w:cs="Arial"/>
          <w:sz w:val="24"/>
          <w:szCs w:val="24"/>
        </w:rPr>
        <w:t>permite</w:t>
      </w:r>
      <w:r w:rsidR="00E21710" w:rsidRPr="009D55D0">
        <w:rPr>
          <w:rFonts w:ascii="Arial" w:hAnsi="Arial" w:cs="Arial"/>
          <w:sz w:val="24"/>
          <w:szCs w:val="24"/>
        </w:rPr>
        <w:t xml:space="preserve"> </w:t>
      </w:r>
      <w:r w:rsidRPr="009D55D0">
        <w:rPr>
          <w:rFonts w:ascii="Arial" w:hAnsi="Arial" w:cs="Arial"/>
          <w:sz w:val="24"/>
          <w:szCs w:val="24"/>
        </w:rPr>
        <w:t>brindar un mejor</w:t>
      </w:r>
      <w:r>
        <w:rPr>
          <w:rFonts w:ascii="Arial" w:hAnsi="Arial" w:cs="Arial"/>
          <w:sz w:val="24"/>
          <w:szCs w:val="24"/>
        </w:rPr>
        <w:t xml:space="preserve"> servicio y dar una atención personalizada.</w:t>
      </w:r>
    </w:p>
    <w:p w14:paraId="1D540214" w14:textId="1BF76D4E" w:rsidR="00003B13" w:rsidRDefault="00003B13" w:rsidP="00BD689A">
      <w:pPr>
        <w:spacing w:line="360" w:lineRule="auto"/>
        <w:jc w:val="both"/>
        <w:rPr>
          <w:rFonts w:ascii="Arial" w:hAnsi="Arial" w:cs="Arial"/>
          <w:sz w:val="24"/>
          <w:szCs w:val="24"/>
        </w:rPr>
      </w:pPr>
      <w:r w:rsidRPr="00E21710">
        <w:rPr>
          <w:rFonts w:ascii="Arial" w:hAnsi="Arial" w:cs="Arial"/>
          <w:sz w:val="24"/>
          <w:szCs w:val="24"/>
        </w:rPr>
        <w:t xml:space="preserve">Entre las propuestas de mejoras tecnológicas, se encuentra en estudio la posibilidad de implementación en el Portal de Transparencia del Consejo de la Judicatura Federal de un buzón, que permita, a través de </w:t>
      </w:r>
      <w:r w:rsidR="00E21710" w:rsidRPr="00E21710">
        <w:rPr>
          <w:rFonts w:ascii="Arial" w:hAnsi="Arial" w:cs="Arial"/>
          <w:sz w:val="24"/>
          <w:szCs w:val="24"/>
        </w:rPr>
        <w:t>los</w:t>
      </w:r>
      <w:r w:rsidRPr="00E21710">
        <w:rPr>
          <w:rFonts w:ascii="Arial" w:hAnsi="Arial" w:cs="Arial"/>
          <w:sz w:val="24"/>
          <w:szCs w:val="24"/>
        </w:rPr>
        <w:t xml:space="preserve"> medios electrónicos especializados, mantener un acercamiento con la ciudadanía.</w:t>
      </w:r>
    </w:p>
    <w:p w14:paraId="10688F26" w14:textId="77777777" w:rsidR="005F5525" w:rsidRPr="00003B13" w:rsidRDefault="005F5525" w:rsidP="008D5B38">
      <w:pPr>
        <w:jc w:val="both"/>
        <w:rPr>
          <w:rFonts w:ascii="Arial" w:hAnsi="Arial" w:cs="Arial"/>
          <w:bCs/>
          <w:sz w:val="24"/>
          <w:szCs w:val="24"/>
          <w:lang w:val="es-ES_tradnl"/>
        </w:rPr>
      </w:pPr>
    </w:p>
    <w:tbl>
      <w:tblPr>
        <w:tblStyle w:val="Tablaconcuadrcula"/>
        <w:tblW w:w="8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135F"/>
        <w:tblLook w:val="04A0" w:firstRow="1" w:lastRow="0" w:firstColumn="1" w:lastColumn="0" w:noHBand="0" w:noVBand="1"/>
      </w:tblPr>
      <w:tblGrid>
        <w:gridCol w:w="8853"/>
      </w:tblGrid>
      <w:tr w:rsidR="008D5B38" w:rsidRPr="00202977" w14:paraId="0261CE9D" w14:textId="77777777" w:rsidTr="0003169A">
        <w:trPr>
          <w:trHeight w:val="1325"/>
        </w:trPr>
        <w:tc>
          <w:tcPr>
            <w:tcW w:w="8853" w:type="dxa"/>
            <w:shd w:val="clear" w:color="auto" w:fill="24135F"/>
            <w:vAlign w:val="center"/>
          </w:tcPr>
          <w:p w14:paraId="1B7C15EC" w14:textId="77777777" w:rsidR="008D5B38" w:rsidRPr="00202977" w:rsidRDefault="008D5B38" w:rsidP="008D5B38">
            <w:pPr>
              <w:jc w:val="both"/>
              <w:rPr>
                <w:rFonts w:ascii="Arial" w:hAnsi="Arial" w:cs="Arial"/>
                <w:b/>
                <w:sz w:val="24"/>
                <w:szCs w:val="24"/>
                <w:lang w:val="es-ES_tradnl"/>
              </w:rPr>
            </w:pPr>
            <w:r>
              <w:rPr>
                <w:rFonts w:ascii="Arial" w:hAnsi="Arial" w:cs="Arial"/>
                <w:b/>
                <w:sz w:val="24"/>
                <w:szCs w:val="24"/>
                <w:lang w:val="es-ES_tradnl"/>
              </w:rPr>
              <w:t xml:space="preserve">FRACCIÓN </w:t>
            </w:r>
            <w:r w:rsidRPr="008D5B38">
              <w:rPr>
                <w:rFonts w:ascii="Arial" w:hAnsi="Arial" w:cs="Arial"/>
                <w:b/>
                <w:sz w:val="24"/>
                <w:szCs w:val="24"/>
                <w:lang w:val="es-ES_tradnl"/>
              </w:rPr>
              <w:t xml:space="preserve">V.- </w:t>
            </w:r>
            <w:r>
              <w:rPr>
                <w:rFonts w:ascii="Arial" w:hAnsi="Arial" w:cs="Arial"/>
                <w:b/>
                <w:sz w:val="24"/>
                <w:szCs w:val="24"/>
                <w:lang w:val="es-ES_tradnl"/>
              </w:rPr>
              <w:t>L</w:t>
            </w:r>
            <w:r w:rsidRPr="008D5B38">
              <w:rPr>
                <w:rFonts w:ascii="Arial" w:hAnsi="Arial" w:cs="Arial"/>
                <w:b/>
                <w:sz w:val="24"/>
                <w:szCs w:val="24"/>
                <w:lang w:val="es-ES_tradnl"/>
              </w:rPr>
              <w:t>a información que se considere de importancia y/o represente beneficios para garantizar el pleno ejercicio de los derechos humanos de acceso a la información y la protección de datos personales.</w:t>
            </w:r>
          </w:p>
        </w:tc>
      </w:tr>
    </w:tbl>
    <w:p w14:paraId="7D400245" w14:textId="61EAEF9D" w:rsidR="008D5B38" w:rsidRPr="00003B13" w:rsidRDefault="008D5B38" w:rsidP="00BD689A">
      <w:pPr>
        <w:spacing w:line="360" w:lineRule="auto"/>
        <w:jc w:val="both"/>
        <w:rPr>
          <w:rFonts w:ascii="Arial" w:hAnsi="Arial" w:cs="Arial"/>
          <w:bCs/>
          <w:sz w:val="24"/>
          <w:szCs w:val="24"/>
          <w:lang w:val="es-ES_tradnl"/>
        </w:rPr>
      </w:pPr>
    </w:p>
    <w:p w14:paraId="19290965" w14:textId="4A280AA4" w:rsidR="00494B4A" w:rsidRDefault="00494B4A" w:rsidP="00BD689A">
      <w:pPr>
        <w:spacing w:line="360" w:lineRule="auto"/>
        <w:jc w:val="both"/>
        <w:rPr>
          <w:rFonts w:ascii="Arial" w:hAnsi="Arial" w:cs="Arial"/>
          <w:sz w:val="24"/>
          <w:szCs w:val="24"/>
        </w:rPr>
      </w:pPr>
      <w:r>
        <w:rPr>
          <w:rFonts w:ascii="Arial" w:hAnsi="Arial" w:cs="Arial"/>
          <w:sz w:val="24"/>
          <w:szCs w:val="24"/>
        </w:rPr>
        <w:t xml:space="preserve">Para el cumplimiento de las obligaciones en materia de transparencia, la Unidad de Transparencia mantiene una estrecha interacción con las unidades administrativas y órganos jurisdiccionales para tener actualizado, con la información medular y en </w:t>
      </w:r>
      <w:r>
        <w:rPr>
          <w:rFonts w:ascii="Arial" w:hAnsi="Arial" w:cs="Arial"/>
          <w:sz w:val="24"/>
          <w:szCs w:val="24"/>
        </w:rPr>
        <w:lastRenderedPageBreak/>
        <w:t xml:space="preserve">los requerimientos legales, el Portal de Transparencia y en la Plataforma Nacional de Transparencia, información que ha sido avalada por el propio Instituto Nacional de Transparencia y Acceso a la Información en su evaluación anual correspondiente al Ejercicio Fiscal 2022, en la que otorgó la calificación de </w:t>
      </w:r>
      <w:r w:rsidR="00E21710">
        <w:rPr>
          <w:rFonts w:ascii="Arial" w:hAnsi="Arial" w:cs="Arial"/>
          <w:b/>
          <w:bCs/>
          <w:sz w:val="24"/>
          <w:szCs w:val="24"/>
        </w:rPr>
        <w:t xml:space="preserve">100 </w:t>
      </w:r>
      <w:r w:rsidRPr="00FE0DAC">
        <w:rPr>
          <w:rFonts w:ascii="Arial" w:hAnsi="Arial" w:cs="Arial"/>
          <w:b/>
          <w:bCs/>
          <w:sz w:val="24"/>
          <w:szCs w:val="24"/>
        </w:rPr>
        <w:t>%</w:t>
      </w:r>
      <w:r>
        <w:rPr>
          <w:rFonts w:ascii="Arial" w:hAnsi="Arial" w:cs="Arial"/>
          <w:sz w:val="24"/>
          <w:szCs w:val="24"/>
        </w:rPr>
        <w:t>.</w:t>
      </w:r>
    </w:p>
    <w:p w14:paraId="565A1FF6" w14:textId="3BF7148A" w:rsidR="00494B4A" w:rsidRDefault="00494B4A" w:rsidP="00BD689A">
      <w:pPr>
        <w:spacing w:line="360" w:lineRule="auto"/>
        <w:jc w:val="both"/>
        <w:rPr>
          <w:rFonts w:ascii="Arial" w:hAnsi="Arial" w:cs="Arial"/>
          <w:sz w:val="24"/>
          <w:szCs w:val="24"/>
        </w:rPr>
      </w:pPr>
      <w:r>
        <w:rPr>
          <w:rFonts w:ascii="Arial" w:hAnsi="Arial" w:cs="Arial"/>
          <w:sz w:val="24"/>
          <w:szCs w:val="24"/>
        </w:rPr>
        <w:t xml:space="preserve">El resultado anterior, implica el compromiso que </w:t>
      </w:r>
      <w:r w:rsidR="001A4831">
        <w:rPr>
          <w:rFonts w:ascii="Arial" w:hAnsi="Arial" w:cs="Arial"/>
          <w:sz w:val="24"/>
          <w:szCs w:val="24"/>
        </w:rPr>
        <w:t>mantiene</w:t>
      </w:r>
      <w:r>
        <w:rPr>
          <w:rFonts w:ascii="Arial" w:hAnsi="Arial" w:cs="Arial"/>
          <w:sz w:val="24"/>
          <w:szCs w:val="24"/>
        </w:rPr>
        <w:t xml:space="preserve"> la Unidad de Transparencia para continuar </w:t>
      </w:r>
      <w:r w:rsidR="00E21710">
        <w:rPr>
          <w:rFonts w:ascii="Arial" w:hAnsi="Arial" w:cs="Arial"/>
          <w:sz w:val="24"/>
          <w:szCs w:val="24"/>
        </w:rPr>
        <w:t>ofreciendo</w:t>
      </w:r>
      <w:r>
        <w:rPr>
          <w:rFonts w:ascii="Arial" w:hAnsi="Arial" w:cs="Arial"/>
          <w:sz w:val="24"/>
          <w:szCs w:val="24"/>
        </w:rPr>
        <w:t xml:space="preserve"> un servicio de calidad, en el que la ciudadanía y de manera particular, aquellas personas que se encuentren en una situación de vulnerabilidad, </w:t>
      </w:r>
      <w:r w:rsidR="00E21710">
        <w:rPr>
          <w:rFonts w:ascii="Arial" w:hAnsi="Arial" w:cs="Arial"/>
          <w:sz w:val="24"/>
          <w:szCs w:val="24"/>
        </w:rPr>
        <w:t xml:space="preserve">a las que se les </w:t>
      </w:r>
      <w:r w:rsidR="009D55D0">
        <w:rPr>
          <w:rFonts w:ascii="Arial" w:hAnsi="Arial" w:cs="Arial"/>
          <w:sz w:val="24"/>
          <w:szCs w:val="24"/>
        </w:rPr>
        <w:t>brinda</w:t>
      </w:r>
      <w:r w:rsidR="00E21710">
        <w:rPr>
          <w:rFonts w:ascii="Arial" w:hAnsi="Arial" w:cs="Arial"/>
          <w:sz w:val="24"/>
          <w:szCs w:val="24"/>
        </w:rPr>
        <w:t xml:space="preserve"> todo el apoyo necesario para acceder a dicha información</w:t>
      </w:r>
      <w:r w:rsidR="009D55D0">
        <w:rPr>
          <w:rFonts w:ascii="Arial" w:hAnsi="Arial" w:cs="Arial"/>
          <w:sz w:val="24"/>
          <w:szCs w:val="24"/>
        </w:rPr>
        <w:t xml:space="preserve"> y</w:t>
      </w:r>
      <w:r w:rsidR="00E21710">
        <w:rPr>
          <w:rFonts w:ascii="Arial" w:hAnsi="Arial" w:cs="Arial"/>
          <w:sz w:val="24"/>
          <w:szCs w:val="24"/>
        </w:rPr>
        <w:t xml:space="preserve"> </w:t>
      </w:r>
      <w:r>
        <w:rPr>
          <w:rFonts w:ascii="Arial" w:hAnsi="Arial" w:cs="Arial"/>
          <w:sz w:val="24"/>
          <w:szCs w:val="24"/>
        </w:rPr>
        <w:t>tengan a su alcance</w:t>
      </w:r>
      <w:r w:rsidR="009D55D0">
        <w:rPr>
          <w:rFonts w:ascii="Arial" w:hAnsi="Arial" w:cs="Arial"/>
          <w:sz w:val="24"/>
          <w:szCs w:val="24"/>
        </w:rPr>
        <w:t>,</w:t>
      </w:r>
      <w:r>
        <w:rPr>
          <w:rFonts w:ascii="Arial" w:hAnsi="Arial" w:cs="Arial"/>
          <w:sz w:val="24"/>
          <w:szCs w:val="24"/>
        </w:rPr>
        <w:t xml:space="preserve"> los medios necesarios para ejercer con plenitud sus derechos humanos consagrados en la Carta Magna y en los tratados internacionales en los que el Gobierno Mexicano sea parte.</w:t>
      </w:r>
    </w:p>
    <w:p w14:paraId="01CCBA96" w14:textId="77777777" w:rsidR="00667038" w:rsidRPr="008D5B38" w:rsidRDefault="00667038" w:rsidP="00BD689A">
      <w:pPr>
        <w:spacing w:line="360" w:lineRule="auto"/>
        <w:jc w:val="both"/>
        <w:rPr>
          <w:rFonts w:ascii="Arial" w:hAnsi="Arial" w:cs="Arial"/>
          <w:sz w:val="24"/>
          <w:szCs w:val="24"/>
          <w:lang w:val="es-ES_tradnl"/>
        </w:rPr>
      </w:pPr>
    </w:p>
    <w:tbl>
      <w:tblPr>
        <w:tblStyle w:val="Tablaconcuadrcula"/>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135F"/>
        <w:tblLook w:val="04A0" w:firstRow="1" w:lastRow="0" w:firstColumn="1" w:lastColumn="0" w:noHBand="0" w:noVBand="1"/>
      </w:tblPr>
      <w:tblGrid>
        <w:gridCol w:w="8913"/>
      </w:tblGrid>
      <w:tr w:rsidR="008D5B38" w:rsidRPr="00202977" w14:paraId="15C05F84" w14:textId="77777777" w:rsidTr="00EF12F6">
        <w:trPr>
          <w:trHeight w:val="1236"/>
        </w:trPr>
        <w:tc>
          <w:tcPr>
            <w:tcW w:w="8913" w:type="dxa"/>
            <w:shd w:val="clear" w:color="auto" w:fill="24135F"/>
            <w:vAlign w:val="center"/>
          </w:tcPr>
          <w:p w14:paraId="037E0CDE" w14:textId="77777777" w:rsidR="008D5B38" w:rsidRPr="00202977" w:rsidRDefault="008D5B38" w:rsidP="008D5B38">
            <w:pPr>
              <w:jc w:val="both"/>
              <w:rPr>
                <w:rFonts w:ascii="Arial" w:hAnsi="Arial" w:cs="Arial"/>
                <w:b/>
                <w:sz w:val="24"/>
                <w:szCs w:val="24"/>
                <w:lang w:val="es-ES_tradnl"/>
              </w:rPr>
            </w:pPr>
            <w:r>
              <w:rPr>
                <w:rFonts w:ascii="Arial" w:hAnsi="Arial" w:cs="Arial"/>
                <w:b/>
                <w:sz w:val="24"/>
                <w:szCs w:val="24"/>
                <w:lang w:val="es-ES_tradnl"/>
              </w:rPr>
              <w:t xml:space="preserve">FRACCIÓN </w:t>
            </w:r>
            <w:r w:rsidRPr="008D5B38">
              <w:rPr>
                <w:rFonts w:ascii="Arial" w:hAnsi="Arial" w:cs="Arial"/>
                <w:b/>
                <w:sz w:val="24"/>
                <w:szCs w:val="24"/>
                <w:lang w:val="es-ES_tradnl"/>
              </w:rPr>
              <w:t>V</w:t>
            </w:r>
            <w:r>
              <w:rPr>
                <w:rFonts w:ascii="Arial" w:hAnsi="Arial" w:cs="Arial"/>
                <w:b/>
                <w:sz w:val="24"/>
                <w:szCs w:val="24"/>
                <w:lang w:val="es-ES_tradnl"/>
              </w:rPr>
              <w:t>I</w:t>
            </w:r>
            <w:r w:rsidRPr="008D5B38">
              <w:rPr>
                <w:rFonts w:ascii="Arial" w:hAnsi="Arial" w:cs="Arial"/>
                <w:b/>
                <w:sz w:val="24"/>
                <w:szCs w:val="24"/>
                <w:lang w:val="es-ES_tradnl"/>
              </w:rPr>
              <w:t>.-</w:t>
            </w:r>
            <w:r>
              <w:rPr>
                <w:rFonts w:ascii="Arial" w:hAnsi="Arial" w:cs="Arial"/>
                <w:b/>
                <w:sz w:val="24"/>
                <w:szCs w:val="24"/>
                <w:lang w:val="es-ES_tradnl"/>
              </w:rPr>
              <w:t xml:space="preserve"> A</w:t>
            </w:r>
            <w:r w:rsidRPr="008D5B38">
              <w:rPr>
                <w:rFonts w:ascii="Arial" w:hAnsi="Arial" w:cs="Arial"/>
                <w:b/>
                <w:sz w:val="24"/>
                <w:szCs w:val="24"/>
                <w:lang w:val="es-ES_tradnl"/>
              </w:rPr>
              <w:t>daptaciones para contar con un Portal Web Accesible</w:t>
            </w:r>
            <w:r>
              <w:rPr>
                <w:rFonts w:ascii="Arial" w:hAnsi="Arial" w:cs="Arial"/>
                <w:b/>
                <w:sz w:val="24"/>
                <w:szCs w:val="24"/>
                <w:lang w:val="es-ES_tradnl"/>
              </w:rPr>
              <w:t>.</w:t>
            </w:r>
          </w:p>
        </w:tc>
      </w:tr>
    </w:tbl>
    <w:p w14:paraId="1ADB2AA0" w14:textId="0470D453" w:rsidR="00A150FF" w:rsidRDefault="00A150FF" w:rsidP="00BD689A">
      <w:pPr>
        <w:autoSpaceDE w:val="0"/>
        <w:autoSpaceDN w:val="0"/>
        <w:adjustRightInd w:val="0"/>
        <w:spacing w:line="360" w:lineRule="auto"/>
        <w:jc w:val="both"/>
        <w:rPr>
          <w:rFonts w:ascii="Arial" w:eastAsiaTheme="minorHAnsi" w:hAnsi="Arial" w:cs="Arial"/>
          <w:sz w:val="24"/>
          <w:szCs w:val="24"/>
          <w:lang w:val="es-MX" w:eastAsia="en-US"/>
        </w:rPr>
      </w:pPr>
    </w:p>
    <w:p w14:paraId="40B7AE38" w14:textId="1330521A" w:rsidR="00494B4A" w:rsidRDefault="00494B4A" w:rsidP="00BD689A">
      <w:pPr>
        <w:spacing w:line="360" w:lineRule="auto"/>
        <w:jc w:val="both"/>
        <w:rPr>
          <w:rFonts w:ascii="Arial" w:hAnsi="Arial" w:cs="Arial"/>
          <w:sz w:val="24"/>
          <w:szCs w:val="24"/>
        </w:rPr>
      </w:pPr>
      <w:r>
        <w:rPr>
          <w:rFonts w:ascii="Arial" w:hAnsi="Arial" w:cs="Arial"/>
          <w:sz w:val="24"/>
          <w:szCs w:val="24"/>
        </w:rPr>
        <w:t>La página Web del Portal de Transparencia del Consejo de la Judicatura Federal, está diseñada para brindar al usuario una navegación amigable y de fácil consulta, la información está distribuida por temas de interés, lo que permite que la consulta sea eficiente y de fácil acceso.</w:t>
      </w:r>
    </w:p>
    <w:p w14:paraId="61A381D1" w14:textId="3B7554FC" w:rsidR="00494B4A" w:rsidRDefault="00494B4A" w:rsidP="00BD689A">
      <w:pPr>
        <w:spacing w:line="360" w:lineRule="auto"/>
        <w:jc w:val="both"/>
        <w:rPr>
          <w:rFonts w:ascii="Arial" w:hAnsi="Arial" w:cs="Arial"/>
          <w:sz w:val="24"/>
          <w:szCs w:val="24"/>
        </w:rPr>
      </w:pPr>
      <w:r>
        <w:rPr>
          <w:rFonts w:ascii="Arial" w:hAnsi="Arial" w:cs="Arial"/>
          <w:sz w:val="24"/>
          <w:szCs w:val="24"/>
        </w:rPr>
        <w:t>La información en general está presentada mediante íconos que nos llevan a otras páginas, están redactadas con textos claros y sencillos; se permite revisarla con el detenimiento que amerite el caso, ya que no existe límite de tiempo para poder mantenerla en pantalla; también pueden acceder a diferentes páginas al mismo tiempo y mantenerlas activas.</w:t>
      </w:r>
    </w:p>
    <w:p w14:paraId="58B82935" w14:textId="3FCA7B6C" w:rsidR="00494B4A" w:rsidRDefault="00494B4A" w:rsidP="00BD689A">
      <w:pPr>
        <w:spacing w:line="360" w:lineRule="auto"/>
        <w:jc w:val="both"/>
        <w:rPr>
          <w:rFonts w:ascii="Arial" w:hAnsi="Arial" w:cs="Arial"/>
          <w:sz w:val="24"/>
          <w:szCs w:val="24"/>
        </w:rPr>
      </w:pPr>
      <w:r>
        <w:rPr>
          <w:rFonts w:ascii="Arial" w:hAnsi="Arial" w:cs="Arial"/>
          <w:sz w:val="24"/>
          <w:szCs w:val="24"/>
        </w:rPr>
        <w:t>En la página principal existe un ícono identificado como “</w:t>
      </w:r>
      <w:r w:rsidRPr="00802C4C">
        <w:rPr>
          <w:rFonts w:ascii="Arial" w:hAnsi="Arial" w:cs="Arial"/>
          <w:i/>
          <w:iCs/>
          <w:sz w:val="24"/>
          <w:szCs w:val="24"/>
        </w:rPr>
        <w:t>Transparencia Proactiva: Acceso a la información en lenguas indígenas</w:t>
      </w:r>
      <w:r w:rsidRPr="00802C4C">
        <w:rPr>
          <w:rFonts w:ascii="Arial" w:hAnsi="Arial" w:cs="Arial"/>
          <w:sz w:val="24"/>
          <w:szCs w:val="24"/>
        </w:rPr>
        <w:t>”</w:t>
      </w:r>
      <w:r>
        <w:rPr>
          <w:rFonts w:ascii="Arial" w:hAnsi="Arial" w:cs="Arial"/>
          <w:sz w:val="24"/>
          <w:szCs w:val="24"/>
        </w:rPr>
        <w:t xml:space="preserve">, el cual nos traslada a diversas </w:t>
      </w:r>
      <w:r>
        <w:rPr>
          <w:rFonts w:ascii="Arial" w:hAnsi="Arial" w:cs="Arial"/>
          <w:sz w:val="24"/>
          <w:szCs w:val="24"/>
        </w:rPr>
        <w:lastRenderedPageBreak/>
        <w:t>páginas presentadas en diferentes lenguas indígenas que contienen, medularmente, información relativa a:</w:t>
      </w:r>
    </w:p>
    <w:p w14:paraId="2C11C0E1" w14:textId="77777777" w:rsidR="00494B4A" w:rsidRDefault="00494B4A" w:rsidP="00494B4A">
      <w:pPr>
        <w:pStyle w:val="Prrafodelista"/>
        <w:numPr>
          <w:ilvl w:val="0"/>
          <w:numId w:val="23"/>
        </w:numPr>
        <w:jc w:val="both"/>
        <w:rPr>
          <w:rFonts w:ascii="Arial" w:hAnsi="Arial" w:cs="Arial"/>
          <w:sz w:val="24"/>
          <w:szCs w:val="24"/>
        </w:rPr>
      </w:pPr>
      <w:r>
        <w:rPr>
          <w:rFonts w:ascii="Arial" w:hAnsi="Arial" w:cs="Arial"/>
          <w:sz w:val="24"/>
          <w:szCs w:val="24"/>
        </w:rPr>
        <w:t>Qué se entiende por datos personales.</w:t>
      </w:r>
    </w:p>
    <w:p w14:paraId="40213D6C" w14:textId="77777777" w:rsidR="00494B4A" w:rsidRDefault="00494B4A" w:rsidP="00494B4A">
      <w:pPr>
        <w:pStyle w:val="Prrafodelista"/>
        <w:numPr>
          <w:ilvl w:val="0"/>
          <w:numId w:val="23"/>
        </w:numPr>
        <w:jc w:val="both"/>
        <w:rPr>
          <w:rFonts w:ascii="Arial" w:hAnsi="Arial" w:cs="Arial"/>
          <w:sz w:val="24"/>
          <w:szCs w:val="24"/>
        </w:rPr>
      </w:pPr>
      <w:r>
        <w:rPr>
          <w:rFonts w:ascii="Arial" w:hAnsi="Arial" w:cs="Arial"/>
          <w:sz w:val="24"/>
          <w:szCs w:val="24"/>
        </w:rPr>
        <w:t>Qué es el aviso de privacidad</w:t>
      </w:r>
    </w:p>
    <w:p w14:paraId="563E2F3A" w14:textId="77777777" w:rsidR="00494B4A" w:rsidRDefault="00494B4A" w:rsidP="00494B4A">
      <w:pPr>
        <w:pStyle w:val="Prrafodelista"/>
        <w:numPr>
          <w:ilvl w:val="0"/>
          <w:numId w:val="23"/>
        </w:numPr>
        <w:jc w:val="both"/>
        <w:rPr>
          <w:rFonts w:ascii="Arial" w:hAnsi="Arial" w:cs="Arial"/>
          <w:sz w:val="24"/>
          <w:szCs w:val="24"/>
        </w:rPr>
      </w:pPr>
      <w:r>
        <w:rPr>
          <w:rFonts w:ascii="Arial" w:hAnsi="Arial" w:cs="Arial"/>
          <w:sz w:val="24"/>
          <w:szCs w:val="24"/>
        </w:rPr>
        <w:t>Qué son los derechos ARCO</w:t>
      </w:r>
    </w:p>
    <w:p w14:paraId="0DBB0EB6" w14:textId="77777777" w:rsidR="00BD689A" w:rsidRDefault="00BD689A" w:rsidP="00BD689A">
      <w:pPr>
        <w:pStyle w:val="Prrafodelista"/>
        <w:ind w:left="1428"/>
        <w:jc w:val="both"/>
        <w:rPr>
          <w:rFonts w:ascii="Arial" w:hAnsi="Arial" w:cs="Arial"/>
          <w:sz w:val="24"/>
          <w:szCs w:val="24"/>
        </w:rPr>
      </w:pPr>
    </w:p>
    <w:p w14:paraId="545B2CF2" w14:textId="77777777" w:rsidR="00494B4A" w:rsidRDefault="00494B4A" w:rsidP="00BD689A">
      <w:pPr>
        <w:spacing w:line="360" w:lineRule="auto"/>
        <w:jc w:val="both"/>
        <w:rPr>
          <w:rFonts w:ascii="Arial" w:hAnsi="Arial" w:cs="Arial"/>
          <w:sz w:val="24"/>
          <w:szCs w:val="24"/>
        </w:rPr>
      </w:pPr>
      <w:r>
        <w:rPr>
          <w:rFonts w:ascii="Arial" w:hAnsi="Arial" w:cs="Arial"/>
          <w:sz w:val="24"/>
          <w:szCs w:val="24"/>
        </w:rPr>
        <w:t>En el sitio de Internet del Consejo de la Judicatura Federal, se trabaja en continuar cumpliendo con los requerimientos de accesibilidad que se señalan en las Pautas de Accesibilidad para el Convenido Web (WCAG 2.0. por sus siglas en inglés), cubriendo lo siguiente:</w:t>
      </w:r>
    </w:p>
    <w:p w14:paraId="11E7CC55"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Las imágenes cuentan con textos alternativos equivalentes.</w:t>
      </w:r>
    </w:p>
    <w:p w14:paraId="049694E7"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Los enlaces, íconos y botones cuentan con texto descriptivo.</w:t>
      </w:r>
    </w:p>
    <w:p w14:paraId="1FDB01FD"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El marcado semántico se utiliza apropiadamente.</w:t>
      </w:r>
    </w:p>
    <w:p w14:paraId="2FE816DC"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Los formularios cuentan con etiquetas claras.</w:t>
      </w:r>
    </w:p>
    <w:p w14:paraId="75C1C87D"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Se pueden controlar los contenidos en movimiento por la persona usuaria.</w:t>
      </w:r>
    </w:p>
    <w:p w14:paraId="26356A0F"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La página es navegable utilizando el teclado.</w:t>
      </w:r>
    </w:p>
    <w:p w14:paraId="6A3284A8"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Los elementos son adaptables a dispositivos móviles.</w:t>
      </w:r>
    </w:p>
    <w:p w14:paraId="2F181E9D"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Se incluyen etiquetas ARIA para lectores de pantalla.</w:t>
      </w:r>
    </w:p>
    <w:p w14:paraId="4B5B30FF"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El tamaño de la letra es estándar para dispositivos pequeños (SEO).</w:t>
      </w:r>
    </w:p>
    <w:p w14:paraId="047376D0" w14:textId="77777777" w:rsidR="00494B4A" w:rsidRPr="00B017A9" w:rsidRDefault="00494B4A" w:rsidP="00494B4A">
      <w:pPr>
        <w:pStyle w:val="Prrafodelista"/>
        <w:numPr>
          <w:ilvl w:val="0"/>
          <w:numId w:val="24"/>
        </w:numPr>
        <w:jc w:val="both"/>
        <w:rPr>
          <w:rFonts w:ascii="Arial" w:hAnsi="Arial" w:cs="Arial"/>
          <w:sz w:val="24"/>
          <w:szCs w:val="24"/>
        </w:rPr>
      </w:pPr>
      <w:r w:rsidRPr="00B017A9">
        <w:rPr>
          <w:rFonts w:ascii="Arial" w:hAnsi="Arial" w:cs="Arial"/>
          <w:sz w:val="24"/>
          <w:szCs w:val="24"/>
        </w:rPr>
        <w:t>Los títulos de páginas son independientes y descriptivos</w:t>
      </w:r>
    </w:p>
    <w:p w14:paraId="710CEFF8" w14:textId="77777777" w:rsidR="00BD689A" w:rsidRDefault="00BD689A" w:rsidP="00BD689A">
      <w:pPr>
        <w:spacing w:line="360" w:lineRule="auto"/>
        <w:jc w:val="both"/>
        <w:rPr>
          <w:rFonts w:ascii="Arial" w:hAnsi="Arial" w:cs="Arial"/>
          <w:sz w:val="24"/>
          <w:szCs w:val="24"/>
        </w:rPr>
      </w:pPr>
    </w:p>
    <w:p w14:paraId="5CA1CAAC" w14:textId="621F97BC" w:rsidR="00494B4A" w:rsidRDefault="00494B4A" w:rsidP="00BD689A">
      <w:pPr>
        <w:spacing w:line="360" w:lineRule="auto"/>
        <w:jc w:val="both"/>
        <w:rPr>
          <w:rFonts w:ascii="Arial" w:hAnsi="Arial" w:cs="Arial"/>
          <w:sz w:val="24"/>
          <w:szCs w:val="24"/>
        </w:rPr>
      </w:pPr>
      <w:r>
        <w:rPr>
          <w:rFonts w:ascii="Arial" w:hAnsi="Arial" w:cs="Arial"/>
          <w:sz w:val="24"/>
          <w:szCs w:val="24"/>
        </w:rPr>
        <w:t>En el año 2021 se incorporó al Portal del Consejo de la Judicatura Federal, un nuevo sitio web denominado “</w:t>
      </w:r>
      <w:r w:rsidRPr="00DD4D9F">
        <w:rPr>
          <w:rFonts w:ascii="Arial" w:hAnsi="Arial" w:cs="Arial"/>
          <w:b/>
          <w:bCs/>
          <w:i/>
          <w:iCs/>
          <w:sz w:val="24"/>
          <w:szCs w:val="24"/>
        </w:rPr>
        <w:t>Nuevo Poder Judicial de la Federación: de políticas a resultados</w:t>
      </w:r>
      <w:r>
        <w:rPr>
          <w:rFonts w:ascii="Arial" w:hAnsi="Arial" w:cs="Arial"/>
          <w:sz w:val="24"/>
          <w:szCs w:val="24"/>
        </w:rPr>
        <w:t xml:space="preserve">”, diseñado con ajustes de accesibilidad, tales como perfil de usuario en el que se despliega un </w:t>
      </w:r>
      <w:r w:rsidR="00BD689A">
        <w:rPr>
          <w:rFonts w:ascii="Arial" w:hAnsi="Arial" w:cs="Arial"/>
          <w:sz w:val="24"/>
          <w:szCs w:val="24"/>
        </w:rPr>
        <w:t>submenú</w:t>
      </w:r>
      <w:r>
        <w:rPr>
          <w:rFonts w:ascii="Arial" w:hAnsi="Arial" w:cs="Arial"/>
          <w:sz w:val="24"/>
          <w:szCs w:val="24"/>
        </w:rPr>
        <w:t xml:space="preserve"> que permite una navegación segura para persona con alguna discapacidad visual, cognitiva, epiléptica o con trastornos del desarrollo neurológico; también permite realizar:</w:t>
      </w:r>
    </w:p>
    <w:p w14:paraId="45E922C4" w14:textId="77777777" w:rsidR="00494B4A" w:rsidRPr="00383B25" w:rsidRDefault="00494B4A" w:rsidP="00BD689A">
      <w:pPr>
        <w:pStyle w:val="Prrafodelista"/>
        <w:numPr>
          <w:ilvl w:val="0"/>
          <w:numId w:val="25"/>
        </w:numPr>
        <w:spacing w:line="360" w:lineRule="auto"/>
        <w:jc w:val="both"/>
        <w:rPr>
          <w:rFonts w:ascii="Arial" w:hAnsi="Arial" w:cs="Arial"/>
          <w:sz w:val="24"/>
          <w:szCs w:val="24"/>
        </w:rPr>
      </w:pPr>
      <w:r w:rsidRPr="00383B25">
        <w:rPr>
          <w:rFonts w:ascii="Arial" w:hAnsi="Arial" w:cs="Arial"/>
          <w:b/>
          <w:bCs/>
          <w:sz w:val="24"/>
          <w:szCs w:val="24"/>
        </w:rPr>
        <w:t>Ajustes de contenido</w:t>
      </w:r>
      <w:r w:rsidRPr="00383B25">
        <w:rPr>
          <w:rFonts w:ascii="Arial" w:hAnsi="Arial" w:cs="Arial"/>
          <w:sz w:val="24"/>
          <w:szCs w:val="24"/>
        </w:rPr>
        <w:t>: tamaños y tipos de letras, enfatizar títulos y links, ampliación de textos-</w:t>
      </w:r>
    </w:p>
    <w:p w14:paraId="1BE7A3D4" w14:textId="77777777" w:rsidR="00494B4A" w:rsidRPr="00383B25" w:rsidRDefault="00494B4A" w:rsidP="00BD689A">
      <w:pPr>
        <w:pStyle w:val="Prrafodelista"/>
        <w:numPr>
          <w:ilvl w:val="0"/>
          <w:numId w:val="25"/>
        </w:numPr>
        <w:spacing w:line="360" w:lineRule="auto"/>
        <w:jc w:val="both"/>
        <w:rPr>
          <w:rFonts w:ascii="Arial" w:hAnsi="Arial" w:cs="Arial"/>
          <w:sz w:val="24"/>
          <w:szCs w:val="24"/>
        </w:rPr>
      </w:pPr>
      <w:r w:rsidRPr="00383B25">
        <w:rPr>
          <w:rFonts w:ascii="Arial" w:hAnsi="Arial" w:cs="Arial"/>
          <w:b/>
          <w:bCs/>
          <w:sz w:val="24"/>
          <w:szCs w:val="24"/>
        </w:rPr>
        <w:t>Ajustes de pantalla</w:t>
      </w:r>
      <w:r w:rsidRPr="00383B25">
        <w:rPr>
          <w:rFonts w:ascii="Arial" w:hAnsi="Arial" w:cs="Arial"/>
          <w:sz w:val="24"/>
          <w:szCs w:val="24"/>
        </w:rPr>
        <w:t>: Contrastes (claros y obscuros) y escala de colores.</w:t>
      </w:r>
    </w:p>
    <w:p w14:paraId="2084C1B4" w14:textId="77777777" w:rsidR="00494B4A" w:rsidRPr="00383B25" w:rsidRDefault="00494B4A" w:rsidP="00BD689A">
      <w:pPr>
        <w:pStyle w:val="Prrafodelista"/>
        <w:numPr>
          <w:ilvl w:val="0"/>
          <w:numId w:val="25"/>
        </w:numPr>
        <w:spacing w:line="360" w:lineRule="auto"/>
        <w:jc w:val="both"/>
        <w:rPr>
          <w:rFonts w:ascii="Arial" w:hAnsi="Arial" w:cs="Arial"/>
          <w:sz w:val="24"/>
          <w:szCs w:val="24"/>
        </w:rPr>
      </w:pPr>
      <w:r w:rsidRPr="00383B25">
        <w:rPr>
          <w:rFonts w:ascii="Arial" w:hAnsi="Arial" w:cs="Arial"/>
          <w:b/>
          <w:bCs/>
          <w:sz w:val="24"/>
          <w:szCs w:val="24"/>
        </w:rPr>
        <w:lastRenderedPageBreak/>
        <w:t>Ajustes de navegación:</w:t>
      </w:r>
      <w:r w:rsidRPr="00383B25">
        <w:rPr>
          <w:rFonts w:ascii="Arial" w:hAnsi="Arial" w:cs="Arial"/>
          <w:sz w:val="24"/>
          <w:szCs w:val="24"/>
        </w:rPr>
        <w:t xml:space="preserve"> Ocultar imágenes, tamaño y tipos de cursor, detener animaciones.</w:t>
      </w:r>
    </w:p>
    <w:p w14:paraId="2007C705" w14:textId="1257C706" w:rsidR="00494B4A" w:rsidRDefault="00494B4A" w:rsidP="00BD689A">
      <w:pPr>
        <w:spacing w:line="360" w:lineRule="auto"/>
        <w:jc w:val="both"/>
        <w:rPr>
          <w:rFonts w:ascii="Arial" w:hAnsi="Arial" w:cs="Arial"/>
          <w:sz w:val="24"/>
          <w:szCs w:val="24"/>
        </w:rPr>
      </w:pPr>
      <w:r>
        <w:rPr>
          <w:rFonts w:ascii="Arial" w:hAnsi="Arial" w:cs="Arial"/>
          <w:sz w:val="24"/>
          <w:szCs w:val="24"/>
        </w:rPr>
        <w:t>Por todo lo anterior, podemos concluir que el Portal de Transparencia del Consejo de la Judicatura Federal administrado por la Unidad de Transparencia está diseñado tomando en consideración los estándares de accesibilidad del Internet; sin que ello signifique, que no pueda realizarse mejoras en su diseño y accesibilidad.</w:t>
      </w:r>
    </w:p>
    <w:p w14:paraId="62A9252E" w14:textId="77777777" w:rsidR="003E7394" w:rsidRPr="00003B13" w:rsidRDefault="003E7394" w:rsidP="00BD689A">
      <w:pPr>
        <w:autoSpaceDE w:val="0"/>
        <w:autoSpaceDN w:val="0"/>
        <w:adjustRightInd w:val="0"/>
        <w:spacing w:line="360" w:lineRule="auto"/>
        <w:jc w:val="both"/>
        <w:rPr>
          <w:rFonts w:ascii="Arial" w:eastAsiaTheme="minorHAnsi" w:hAnsi="Arial" w:cs="Arial"/>
          <w:sz w:val="24"/>
          <w:szCs w:val="24"/>
          <w:lang w:val="es-MX" w:eastAsia="en-US"/>
        </w:rPr>
      </w:pPr>
    </w:p>
    <w:tbl>
      <w:tblPr>
        <w:tblStyle w:val="Tablaconcuadrcula"/>
        <w:tblW w:w="8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135F"/>
        <w:tblLook w:val="04A0" w:firstRow="1" w:lastRow="0" w:firstColumn="1" w:lastColumn="0" w:noHBand="0" w:noVBand="1"/>
      </w:tblPr>
      <w:tblGrid>
        <w:gridCol w:w="8912"/>
      </w:tblGrid>
      <w:tr w:rsidR="008D5B38" w:rsidRPr="00202977" w14:paraId="34D1802D" w14:textId="77777777" w:rsidTr="0090253A">
        <w:trPr>
          <w:trHeight w:val="2074"/>
        </w:trPr>
        <w:tc>
          <w:tcPr>
            <w:tcW w:w="8912" w:type="dxa"/>
            <w:shd w:val="clear" w:color="auto" w:fill="24135F"/>
            <w:vAlign w:val="center"/>
          </w:tcPr>
          <w:p w14:paraId="7F3524CB" w14:textId="77777777" w:rsidR="008D5B38" w:rsidRPr="00202977" w:rsidRDefault="008D5B38" w:rsidP="008D5B38">
            <w:pPr>
              <w:jc w:val="both"/>
              <w:rPr>
                <w:rFonts w:ascii="Arial" w:hAnsi="Arial" w:cs="Arial"/>
                <w:b/>
                <w:sz w:val="24"/>
                <w:szCs w:val="24"/>
                <w:lang w:val="es-ES_tradnl"/>
              </w:rPr>
            </w:pPr>
            <w:r>
              <w:rPr>
                <w:rFonts w:ascii="Arial" w:hAnsi="Arial" w:cs="Arial"/>
                <w:b/>
                <w:sz w:val="24"/>
                <w:szCs w:val="24"/>
                <w:lang w:val="es-ES_tradnl"/>
              </w:rPr>
              <w:t xml:space="preserve">FRACCIÓN </w:t>
            </w:r>
            <w:r w:rsidRPr="008D5B38">
              <w:rPr>
                <w:rFonts w:ascii="Arial" w:hAnsi="Arial" w:cs="Arial"/>
                <w:b/>
                <w:sz w:val="24"/>
                <w:szCs w:val="24"/>
                <w:lang w:val="es-ES_tradnl"/>
              </w:rPr>
              <w:t>V</w:t>
            </w:r>
            <w:r>
              <w:rPr>
                <w:rFonts w:ascii="Arial" w:hAnsi="Arial" w:cs="Arial"/>
                <w:b/>
                <w:sz w:val="24"/>
                <w:szCs w:val="24"/>
                <w:lang w:val="es-ES_tradnl"/>
              </w:rPr>
              <w:t>II</w:t>
            </w:r>
            <w:r w:rsidRPr="008D5B38">
              <w:rPr>
                <w:rFonts w:ascii="Arial" w:hAnsi="Arial" w:cs="Arial"/>
                <w:b/>
                <w:sz w:val="24"/>
                <w:szCs w:val="24"/>
                <w:lang w:val="es-ES_tradnl"/>
              </w:rPr>
              <w:t>.-</w:t>
            </w:r>
            <w:r w:rsidRPr="008D5B38">
              <w:rPr>
                <w:rFonts w:ascii="Arial" w:hAnsi="Arial" w:cs="Arial"/>
                <w:b/>
                <w:sz w:val="24"/>
                <w:szCs w:val="24"/>
              </w:rPr>
              <w:t xml:space="preserve"> </w:t>
            </w:r>
            <w:r>
              <w:rPr>
                <w:rFonts w:ascii="Arial" w:hAnsi="Arial" w:cs="Arial"/>
                <w:b/>
                <w:sz w:val="24"/>
                <w:szCs w:val="24"/>
              </w:rPr>
              <w:t>A</w:t>
            </w:r>
            <w:r w:rsidRPr="008D5B38">
              <w:rPr>
                <w:rFonts w:ascii="Arial" w:hAnsi="Arial" w:cs="Arial"/>
                <w:b/>
                <w:sz w:val="24"/>
                <w:szCs w:val="24"/>
              </w:rPr>
              <w:t>cciones de formación, capacitación y sensibilización en materia de derechos humanos, conceptos de igualdad y no discriminación, normativa nacional e internacional, género, diversidad, inclusión y estereotipos, así como metodologías, tecnologías y mejores prácticas para el personal que integra las Unidades de Transparencia</w:t>
            </w:r>
            <w:r>
              <w:rPr>
                <w:rFonts w:ascii="Arial" w:hAnsi="Arial" w:cs="Arial"/>
                <w:b/>
                <w:sz w:val="24"/>
                <w:szCs w:val="24"/>
                <w:lang w:val="es-ES_tradnl"/>
              </w:rPr>
              <w:t>.</w:t>
            </w:r>
          </w:p>
        </w:tc>
      </w:tr>
    </w:tbl>
    <w:p w14:paraId="6433AFAC" w14:textId="46D09F3F" w:rsidR="008D5B38" w:rsidRDefault="008D5B38" w:rsidP="00BD689A">
      <w:pPr>
        <w:spacing w:line="360" w:lineRule="auto"/>
        <w:jc w:val="both"/>
        <w:rPr>
          <w:rFonts w:ascii="Arial" w:hAnsi="Arial" w:cs="Arial"/>
          <w:sz w:val="24"/>
        </w:rPr>
      </w:pPr>
    </w:p>
    <w:p w14:paraId="5EA95CD0" w14:textId="3CCE770F" w:rsidR="00494B4A" w:rsidRDefault="00494B4A" w:rsidP="00BD689A">
      <w:pPr>
        <w:spacing w:line="360" w:lineRule="auto"/>
        <w:jc w:val="both"/>
        <w:rPr>
          <w:rFonts w:ascii="Arial" w:hAnsi="Arial" w:cs="Arial"/>
          <w:sz w:val="24"/>
          <w:szCs w:val="24"/>
        </w:rPr>
      </w:pPr>
      <w:r>
        <w:rPr>
          <w:rFonts w:ascii="Arial" w:hAnsi="Arial" w:cs="Arial"/>
          <w:sz w:val="24"/>
          <w:szCs w:val="24"/>
        </w:rPr>
        <w:t>La capacita</w:t>
      </w:r>
      <w:r w:rsidR="00E21710">
        <w:rPr>
          <w:rFonts w:ascii="Arial" w:hAnsi="Arial" w:cs="Arial"/>
          <w:sz w:val="24"/>
          <w:szCs w:val="24"/>
        </w:rPr>
        <w:t>ción</w:t>
      </w:r>
      <w:r>
        <w:rPr>
          <w:rFonts w:ascii="Arial" w:hAnsi="Arial" w:cs="Arial"/>
          <w:sz w:val="24"/>
          <w:szCs w:val="24"/>
        </w:rPr>
        <w:t xml:space="preserve"> al interior de la Unidad de Transparencia representa una de las herramientas necesarias con las que debe contar cada una de las personas que integran la unidad.</w:t>
      </w:r>
    </w:p>
    <w:p w14:paraId="225A8675" w14:textId="26089D56" w:rsidR="00494B4A" w:rsidRDefault="00494B4A" w:rsidP="00BD689A">
      <w:pPr>
        <w:spacing w:line="360" w:lineRule="auto"/>
        <w:jc w:val="both"/>
        <w:rPr>
          <w:rFonts w:ascii="Arial" w:hAnsi="Arial" w:cs="Arial"/>
          <w:sz w:val="24"/>
          <w:szCs w:val="24"/>
        </w:rPr>
      </w:pPr>
      <w:r>
        <w:rPr>
          <w:rFonts w:ascii="Arial" w:hAnsi="Arial" w:cs="Arial"/>
          <w:sz w:val="24"/>
          <w:szCs w:val="24"/>
        </w:rPr>
        <w:t>Por ello, el personal asiste a diferentes cursos, conversatorios, pláticas que le permiten allegarse de los conocimientos necesarios para brindar una atención especializada, tomando en consideración la situación particular de cada persona que solicita nuestro apoyo para acceder a la información de la institución y la protección de sus datos personales.</w:t>
      </w:r>
    </w:p>
    <w:p w14:paraId="05E509C1" w14:textId="4BD90B89" w:rsidR="00494B4A" w:rsidRDefault="00494B4A" w:rsidP="00BD689A">
      <w:pPr>
        <w:spacing w:line="360" w:lineRule="auto"/>
        <w:jc w:val="both"/>
        <w:rPr>
          <w:rFonts w:ascii="Arial" w:hAnsi="Arial" w:cs="Arial"/>
          <w:sz w:val="24"/>
          <w:szCs w:val="24"/>
        </w:rPr>
      </w:pPr>
      <w:r>
        <w:rPr>
          <w:rFonts w:ascii="Arial" w:hAnsi="Arial" w:cs="Arial"/>
          <w:sz w:val="24"/>
          <w:szCs w:val="24"/>
        </w:rPr>
        <w:t>Asimismo, el titular de la Unidad impulsa la importancia que representa el tema de Transparencia y Protección de Datos Personales, a través de la capacitación del personal adscrito a las diversas unidades administrativas y órganos jurisdiccionales, como ejemplo de ello, durante el periodo que</w:t>
      </w:r>
      <w:r w:rsidR="00E21710">
        <w:rPr>
          <w:rFonts w:ascii="Arial" w:hAnsi="Arial" w:cs="Arial"/>
          <w:sz w:val="24"/>
          <w:szCs w:val="24"/>
        </w:rPr>
        <w:t xml:space="preserve"> nos ocupa </w:t>
      </w:r>
      <w:r>
        <w:rPr>
          <w:rFonts w:ascii="Arial" w:hAnsi="Arial" w:cs="Arial"/>
          <w:sz w:val="24"/>
          <w:szCs w:val="24"/>
        </w:rPr>
        <w:t xml:space="preserve">se capacitó a </w:t>
      </w:r>
      <w:r w:rsidRPr="00DD4D9F">
        <w:rPr>
          <w:rFonts w:ascii="Arial" w:hAnsi="Arial" w:cs="Arial"/>
          <w:b/>
          <w:bCs/>
          <w:sz w:val="24"/>
          <w:szCs w:val="24"/>
        </w:rPr>
        <w:t>10,100 servidores públicos</w:t>
      </w:r>
      <w:r>
        <w:rPr>
          <w:rFonts w:ascii="Arial" w:hAnsi="Arial" w:cs="Arial"/>
          <w:sz w:val="24"/>
          <w:szCs w:val="24"/>
        </w:rPr>
        <w:t xml:space="preserve"> sobre la materia.</w:t>
      </w:r>
    </w:p>
    <w:p w14:paraId="3EB3DD06" w14:textId="77777777" w:rsidR="00494B4A" w:rsidRPr="00900A14" w:rsidRDefault="00494B4A" w:rsidP="00BD689A">
      <w:pPr>
        <w:spacing w:line="360" w:lineRule="auto"/>
        <w:jc w:val="both"/>
        <w:rPr>
          <w:rFonts w:ascii="Arial" w:hAnsi="Arial" w:cs="Arial"/>
          <w:sz w:val="24"/>
          <w:szCs w:val="24"/>
        </w:rPr>
      </w:pPr>
    </w:p>
    <w:sectPr w:rsidR="00494B4A" w:rsidRPr="00900A14" w:rsidSect="00366764">
      <w:footerReference w:type="default" r:id="rId8"/>
      <w:headerReference w:type="first" r:id="rId9"/>
      <w:pgSz w:w="12240" w:h="15840" w:code="1"/>
      <w:pgMar w:top="1418" w:right="1701" w:bottom="993" w:left="1701" w:header="340" w:footer="9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9CA2" w14:textId="77777777" w:rsidR="008B486A" w:rsidRDefault="008B486A">
      <w:r>
        <w:separator/>
      </w:r>
    </w:p>
  </w:endnote>
  <w:endnote w:type="continuationSeparator" w:id="0">
    <w:p w14:paraId="63A67A5E" w14:textId="77777777" w:rsidR="008B486A" w:rsidRDefault="008B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245089"/>
      <w:docPartObj>
        <w:docPartGallery w:val="Page Numbers (Bottom of Page)"/>
        <w:docPartUnique/>
      </w:docPartObj>
    </w:sdtPr>
    <w:sdtEndPr/>
    <w:sdtContent>
      <w:p w14:paraId="1420E4DD" w14:textId="15E422D1" w:rsidR="00D62ECE" w:rsidRDefault="008507C8">
        <w:pPr>
          <w:pStyle w:val="Piedepgina"/>
          <w:jc w:val="right"/>
        </w:pPr>
        <w:r>
          <w:fldChar w:fldCharType="begin"/>
        </w:r>
        <w:r>
          <w:instrText>PAGE   \* MERGEFORMAT</w:instrText>
        </w:r>
        <w:r>
          <w:fldChar w:fldCharType="separate"/>
        </w:r>
        <w:r w:rsidR="005F5525">
          <w:rPr>
            <w:noProof/>
          </w:rPr>
          <w:t>6</w:t>
        </w:r>
        <w:r>
          <w:fldChar w:fldCharType="end"/>
        </w:r>
      </w:p>
    </w:sdtContent>
  </w:sdt>
  <w:p w14:paraId="4CF8A157" w14:textId="77777777" w:rsidR="00D62ECE" w:rsidRDefault="008B48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204E" w14:textId="77777777" w:rsidR="008B486A" w:rsidRDefault="008B486A">
      <w:r>
        <w:separator/>
      </w:r>
    </w:p>
  </w:footnote>
  <w:footnote w:type="continuationSeparator" w:id="0">
    <w:p w14:paraId="5A3F6545" w14:textId="77777777" w:rsidR="008B486A" w:rsidRDefault="008B4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426E" w14:textId="77777777" w:rsidR="00B756EA" w:rsidRDefault="008507C8">
    <w:pPr>
      <w:pStyle w:val="Encabezado"/>
    </w:pPr>
    <w:r>
      <w:rPr>
        <w:noProof/>
        <w:lang w:val="es-MX" w:eastAsia="es-MX"/>
      </w:rPr>
      <mc:AlternateContent>
        <mc:Choice Requires="wps">
          <w:drawing>
            <wp:anchor distT="0" distB="0" distL="114300" distR="114300" simplePos="0" relativeHeight="251660288" behindDoc="0" locked="0" layoutInCell="1" allowOverlap="1" wp14:anchorId="13CE06D6" wp14:editId="5579D820">
              <wp:simplePos x="0" y="0"/>
              <wp:positionH relativeFrom="column">
                <wp:posOffset>1053084</wp:posOffset>
              </wp:positionH>
              <wp:positionV relativeFrom="paragraph">
                <wp:posOffset>505841</wp:posOffset>
              </wp:positionV>
              <wp:extent cx="3994150" cy="1403985"/>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1403985"/>
                      </a:xfrm>
                      <a:prstGeom prst="rect">
                        <a:avLst/>
                      </a:prstGeom>
                      <a:noFill/>
                      <a:ln w="9525">
                        <a:noFill/>
                        <a:miter lim="800000"/>
                        <a:headEnd/>
                        <a:tailEnd/>
                      </a:ln>
                    </wps:spPr>
                    <wps:txbx>
                      <w:txbxContent>
                        <w:p w14:paraId="75156D26" w14:textId="77777777" w:rsidR="00B756EA" w:rsidRPr="00B756EA" w:rsidRDefault="008507C8">
                          <w:pPr>
                            <w:rPr>
                              <w:rFonts w:ascii="Arial" w:hAnsi="Arial" w:cs="Arial"/>
                              <w:sz w:val="24"/>
                              <w:szCs w:val="24"/>
                            </w:rPr>
                          </w:pPr>
                          <w:r w:rsidRPr="00B756EA">
                            <w:rPr>
                              <w:rFonts w:ascii="Arial" w:hAnsi="Arial" w:cs="Arial"/>
                              <w:sz w:val="24"/>
                              <w:szCs w:val="24"/>
                            </w:rPr>
                            <w:t>UNIDAD DE TRANSPARENCIA DEL</w:t>
                          </w:r>
                        </w:p>
                        <w:p w14:paraId="5209374D" w14:textId="77777777" w:rsidR="00B756EA" w:rsidRPr="00B756EA" w:rsidRDefault="008507C8">
                          <w:pPr>
                            <w:rPr>
                              <w:rFonts w:ascii="Arial" w:hAnsi="Arial" w:cs="Arial"/>
                              <w:sz w:val="24"/>
                              <w:szCs w:val="24"/>
                            </w:rPr>
                          </w:pPr>
                          <w:r w:rsidRPr="00B756EA">
                            <w:rPr>
                              <w:rFonts w:ascii="Arial" w:hAnsi="Arial" w:cs="Arial"/>
                              <w:sz w:val="24"/>
                              <w:szCs w:val="24"/>
                            </w:rPr>
                            <w:t>CONSEJO DE LA JUDICATURA FEDERAL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CE06D6" id="_x0000_t202" coordsize="21600,21600" o:spt="202" path="m,l,21600r21600,l21600,xe">
              <v:stroke joinstyle="miter"/>
              <v:path gradientshapeok="t" o:connecttype="rect"/>
            </v:shapetype>
            <v:shape id="Cuadro de texto 2" o:spid="_x0000_s1026" type="#_x0000_t202" style="position:absolute;margin-left:82.9pt;margin-top:39.85pt;width:31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" filled="f" stroked="f">
              <v:textbox style="mso-fit-shape-to-text:t">
                <w:txbxContent>
                  <w:p w14:paraId="75156D26" w14:textId="77777777" w:rsidR="00B756EA" w:rsidRPr="00B756EA" w:rsidRDefault="008507C8">
                    <w:pPr>
                      <w:rPr>
                        <w:rFonts w:ascii="Arial" w:hAnsi="Arial" w:cs="Arial"/>
                        <w:sz w:val="24"/>
                        <w:szCs w:val="24"/>
                      </w:rPr>
                    </w:pPr>
                    <w:r w:rsidRPr="00B756EA">
                      <w:rPr>
                        <w:rFonts w:ascii="Arial" w:hAnsi="Arial" w:cs="Arial"/>
                        <w:sz w:val="24"/>
                        <w:szCs w:val="24"/>
                      </w:rPr>
                      <w:t>UNIDAD DE TRANSPARENCIA DEL</w:t>
                    </w:r>
                  </w:p>
                  <w:p w14:paraId="5209374D" w14:textId="77777777" w:rsidR="00B756EA" w:rsidRPr="00B756EA" w:rsidRDefault="008507C8">
                    <w:pPr>
                      <w:rPr>
                        <w:rFonts w:ascii="Arial" w:hAnsi="Arial" w:cs="Arial"/>
                        <w:sz w:val="24"/>
                        <w:szCs w:val="24"/>
                      </w:rPr>
                    </w:pPr>
                    <w:r w:rsidRPr="00B756EA">
                      <w:rPr>
                        <w:rFonts w:ascii="Arial" w:hAnsi="Arial" w:cs="Arial"/>
                        <w:sz w:val="24"/>
                        <w:szCs w:val="24"/>
                      </w:rPr>
                      <w:t>CONSEJO DE LA JUDICATURA FEDERAL</w:t>
                    </w:r>
                  </w:p>
                </w:txbxContent>
              </v:textbox>
            </v:shape>
          </w:pict>
        </mc:Fallback>
      </mc:AlternateContent>
    </w:r>
    <w:r>
      <w:rPr>
        <w:noProof/>
        <w:lang w:val="es-MX" w:eastAsia="es-MX"/>
      </w:rPr>
      <w:drawing>
        <wp:anchor distT="0" distB="0" distL="114300" distR="114300" simplePos="0" relativeHeight="251659264" behindDoc="0" locked="0" layoutInCell="1" allowOverlap="1" wp14:anchorId="42A1C7AD" wp14:editId="53761BCD">
          <wp:simplePos x="0" y="0"/>
          <wp:positionH relativeFrom="column">
            <wp:posOffset>-40005</wp:posOffset>
          </wp:positionH>
          <wp:positionV relativeFrom="paragraph">
            <wp:posOffset>-201295</wp:posOffset>
          </wp:positionV>
          <wp:extent cx="5612130" cy="1497965"/>
          <wp:effectExtent l="0" t="0" r="7620" b="6985"/>
          <wp:wrapThrough wrapText="bothSides">
            <wp:wrapPolygon edited="0">
              <wp:start x="0" y="0"/>
              <wp:lineTo x="0" y="21426"/>
              <wp:lineTo x="21556" y="21426"/>
              <wp:lineTo x="21556" y="0"/>
              <wp:lineTo x="0" y="0"/>
            </wp:wrapPolygon>
          </wp:wrapThrough>
          <wp:docPr id="1" name="Imagen 1" descr="Macintosh HD:Users:Amaya:Desktop:HEADER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aya:Desktop:HEADER_Mesa de trabaj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497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21A"/>
    <w:multiLevelType w:val="hybridMultilevel"/>
    <w:tmpl w:val="57A60BA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99E10DE"/>
    <w:multiLevelType w:val="multilevel"/>
    <w:tmpl w:val="B28E8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627CB"/>
    <w:multiLevelType w:val="hybridMultilevel"/>
    <w:tmpl w:val="A798F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EC6707"/>
    <w:multiLevelType w:val="hybridMultilevel"/>
    <w:tmpl w:val="984E4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92585"/>
    <w:multiLevelType w:val="hybridMultilevel"/>
    <w:tmpl w:val="26E8D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6E48C8"/>
    <w:multiLevelType w:val="hybridMultilevel"/>
    <w:tmpl w:val="55F87CE8"/>
    <w:lvl w:ilvl="0" w:tplc="429CDBA0">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F26F8C"/>
    <w:multiLevelType w:val="hybridMultilevel"/>
    <w:tmpl w:val="4126AF6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C403E5A"/>
    <w:multiLevelType w:val="hybridMultilevel"/>
    <w:tmpl w:val="A8A43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974A59"/>
    <w:multiLevelType w:val="hybridMultilevel"/>
    <w:tmpl w:val="FC5E5F84"/>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32522719"/>
    <w:multiLevelType w:val="hybridMultilevel"/>
    <w:tmpl w:val="2640EC14"/>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25C3385"/>
    <w:multiLevelType w:val="hybridMultilevel"/>
    <w:tmpl w:val="4540FC32"/>
    <w:lvl w:ilvl="0" w:tplc="BA8AEDEA">
      <w:start w:val="1"/>
      <w:numFmt w:val="bullet"/>
      <w:lvlText w:val=""/>
      <w:lvlJc w:val="left"/>
      <w:pPr>
        <w:ind w:left="948" w:hanging="360"/>
      </w:pPr>
      <w:rPr>
        <w:rFonts w:ascii="Symbol" w:hAnsi="Symbol" w:hint="default"/>
        <w:color w:val="auto"/>
      </w:rPr>
    </w:lvl>
    <w:lvl w:ilvl="1" w:tplc="080A0003" w:tentative="1">
      <w:start w:val="1"/>
      <w:numFmt w:val="bullet"/>
      <w:lvlText w:val="o"/>
      <w:lvlJc w:val="left"/>
      <w:pPr>
        <w:ind w:left="1668" w:hanging="360"/>
      </w:pPr>
      <w:rPr>
        <w:rFonts w:ascii="Courier New" w:hAnsi="Courier New" w:cs="Courier New" w:hint="default"/>
      </w:rPr>
    </w:lvl>
    <w:lvl w:ilvl="2" w:tplc="080A0005" w:tentative="1">
      <w:start w:val="1"/>
      <w:numFmt w:val="bullet"/>
      <w:lvlText w:val=""/>
      <w:lvlJc w:val="left"/>
      <w:pPr>
        <w:ind w:left="2388" w:hanging="360"/>
      </w:pPr>
      <w:rPr>
        <w:rFonts w:ascii="Wingdings" w:hAnsi="Wingdings" w:hint="default"/>
      </w:rPr>
    </w:lvl>
    <w:lvl w:ilvl="3" w:tplc="080A0001" w:tentative="1">
      <w:start w:val="1"/>
      <w:numFmt w:val="bullet"/>
      <w:lvlText w:val=""/>
      <w:lvlJc w:val="left"/>
      <w:pPr>
        <w:ind w:left="3108" w:hanging="360"/>
      </w:pPr>
      <w:rPr>
        <w:rFonts w:ascii="Symbol" w:hAnsi="Symbol" w:hint="default"/>
      </w:rPr>
    </w:lvl>
    <w:lvl w:ilvl="4" w:tplc="080A0003" w:tentative="1">
      <w:start w:val="1"/>
      <w:numFmt w:val="bullet"/>
      <w:lvlText w:val="o"/>
      <w:lvlJc w:val="left"/>
      <w:pPr>
        <w:ind w:left="3828" w:hanging="360"/>
      </w:pPr>
      <w:rPr>
        <w:rFonts w:ascii="Courier New" w:hAnsi="Courier New" w:cs="Courier New" w:hint="default"/>
      </w:rPr>
    </w:lvl>
    <w:lvl w:ilvl="5" w:tplc="080A0005" w:tentative="1">
      <w:start w:val="1"/>
      <w:numFmt w:val="bullet"/>
      <w:lvlText w:val=""/>
      <w:lvlJc w:val="left"/>
      <w:pPr>
        <w:ind w:left="4548" w:hanging="360"/>
      </w:pPr>
      <w:rPr>
        <w:rFonts w:ascii="Wingdings" w:hAnsi="Wingdings" w:hint="default"/>
      </w:rPr>
    </w:lvl>
    <w:lvl w:ilvl="6" w:tplc="080A0001" w:tentative="1">
      <w:start w:val="1"/>
      <w:numFmt w:val="bullet"/>
      <w:lvlText w:val=""/>
      <w:lvlJc w:val="left"/>
      <w:pPr>
        <w:ind w:left="5268" w:hanging="360"/>
      </w:pPr>
      <w:rPr>
        <w:rFonts w:ascii="Symbol" w:hAnsi="Symbol" w:hint="default"/>
      </w:rPr>
    </w:lvl>
    <w:lvl w:ilvl="7" w:tplc="080A0003" w:tentative="1">
      <w:start w:val="1"/>
      <w:numFmt w:val="bullet"/>
      <w:lvlText w:val="o"/>
      <w:lvlJc w:val="left"/>
      <w:pPr>
        <w:ind w:left="5988" w:hanging="360"/>
      </w:pPr>
      <w:rPr>
        <w:rFonts w:ascii="Courier New" w:hAnsi="Courier New" w:cs="Courier New" w:hint="default"/>
      </w:rPr>
    </w:lvl>
    <w:lvl w:ilvl="8" w:tplc="080A0005" w:tentative="1">
      <w:start w:val="1"/>
      <w:numFmt w:val="bullet"/>
      <w:lvlText w:val=""/>
      <w:lvlJc w:val="left"/>
      <w:pPr>
        <w:ind w:left="6708" w:hanging="360"/>
      </w:pPr>
      <w:rPr>
        <w:rFonts w:ascii="Wingdings" w:hAnsi="Wingdings" w:hint="default"/>
      </w:rPr>
    </w:lvl>
  </w:abstractNum>
  <w:abstractNum w:abstractNumId="11" w15:restartNumberingAfterBreak="0">
    <w:nsid w:val="3E075110"/>
    <w:multiLevelType w:val="hybridMultilevel"/>
    <w:tmpl w:val="A1B067DA"/>
    <w:lvl w:ilvl="0" w:tplc="9EC8D620">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136D57"/>
    <w:multiLevelType w:val="hybridMultilevel"/>
    <w:tmpl w:val="47CAA7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D43AAE"/>
    <w:multiLevelType w:val="hybridMultilevel"/>
    <w:tmpl w:val="E2FC6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40533F"/>
    <w:multiLevelType w:val="hybridMultilevel"/>
    <w:tmpl w:val="C31EF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4A2E09"/>
    <w:multiLevelType w:val="hybridMultilevel"/>
    <w:tmpl w:val="8900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204162"/>
    <w:multiLevelType w:val="hybridMultilevel"/>
    <w:tmpl w:val="2DC2C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465CB1"/>
    <w:multiLevelType w:val="hybridMultilevel"/>
    <w:tmpl w:val="FD0E9E46"/>
    <w:lvl w:ilvl="0" w:tplc="6010A7B6">
      <w:start w:val="1"/>
      <w:numFmt w:val="bullet"/>
      <w:lvlText w:val=""/>
      <w:lvlJc w:val="left"/>
      <w:pPr>
        <w:ind w:left="1068" w:hanging="360"/>
      </w:pPr>
      <w:rPr>
        <w:rFonts w:ascii="Wingdings" w:hAnsi="Wingdings" w:hint="default"/>
        <w:color w:val="0070C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528C1A8D"/>
    <w:multiLevelType w:val="hybridMultilevel"/>
    <w:tmpl w:val="8446D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DF77F3"/>
    <w:multiLevelType w:val="hybridMultilevel"/>
    <w:tmpl w:val="529CBFC8"/>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56A4276B"/>
    <w:multiLevelType w:val="hybridMultilevel"/>
    <w:tmpl w:val="EFD2D5E8"/>
    <w:lvl w:ilvl="0" w:tplc="B5E0FC5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685165"/>
    <w:multiLevelType w:val="hybridMultilevel"/>
    <w:tmpl w:val="9B8AAC54"/>
    <w:lvl w:ilvl="0" w:tplc="F06AC8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77BEA"/>
    <w:multiLevelType w:val="hybridMultilevel"/>
    <w:tmpl w:val="41B89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5BC0186"/>
    <w:multiLevelType w:val="hybridMultilevel"/>
    <w:tmpl w:val="64A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DD171D"/>
    <w:multiLevelType w:val="hybridMultilevel"/>
    <w:tmpl w:val="C3D0B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3"/>
  </w:num>
  <w:num w:numId="3">
    <w:abstractNumId w:val="21"/>
  </w:num>
  <w:num w:numId="4">
    <w:abstractNumId w:val="11"/>
  </w:num>
  <w:num w:numId="5">
    <w:abstractNumId w:val="1"/>
  </w:num>
  <w:num w:numId="6">
    <w:abstractNumId w:val="15"/>
  </w:num>
  <w:num w:numId="7">
    <w:abstractNumId w:val="6"/>
  </w:num>
  <w:num w:numId="8">
    <w:abstractNumId w:val="3"/>
  </w:num>
  <w:num w:numId="9">
    <w:abstractNumId w:val="18"/>
  </w:num>
  <w:num w:numId="10">
    <w:abstractNumId w:val="24"/>
  </w:num>
  <w:num w:numId="11">
    <w:abstractNumId w:val="20"/>
  </w:num>
  <w:num w:numId="12">
    <w:abstractNumId w:val="23"/>
  </w:num>
  <w:num w:numId="13">
    <w:abstractNumId w:val="22"/>
  </w:num>
  <w:num w:numId="14">
    <w:abstractNumId w:val="14"/>
  </w:num>
  <w:num w:numId="15">
    <w:abstractNumId w:val="12"/>
  </w:num>
  <w:num w:numId="16">
    <w:abstractNumId w:val="2"/>
  </w:num>
  <w:num w:numId="17">
    <w:abstractNumId w:val="7"/>
  </w:num>
  <w:num w:numId="18">
    <w:abstractNumId w:val="16"/>
  </w:num>
  <w:num w:numId="19">
    <w:abstractNumId w:val="4"/>
  </w:num>
  <w:num w:numId="20">
    <w:abstractNumId w:val="5"/>
  </w:num>
  <w:num w:numId="21">
    <w:abstractNumId w:val="8"/>
  </w:num>
  <w:num w:numId="22">
    <w:abstractNumId w:val="17"/>
  </w:num>
  <w:num w:numId="23">
    <w:abstractNumId w:val="9"/>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8"/>
    <w:rsid w:val="00003B13"/>
    <w:rsid w:val="000122BA"/>
    <w:rsid w:val="0001674F"/>
    <w:rsid w:val="000239E8"/>
    <w:rsid w:val="00027B79"/>
    <w:rsid w:val="0003169A"/>
    <w:rsid w:val="0004217B"/>
    <w:rsid w:val="00052A7E"/>
    <w:rsid w:val="00072A5D"/>
    <w:rsid w:val="000A6CAD"/>
    <w:rsid w:val="000E47BD"/>
    <w:rsid w:val="000F13BD"/>
    <w:rsid w:val="000F29BE"/>
    <w:rsid w:val="00101A6B"/>
    <w:rsid w:val="0012239E"/>
    <w:rsid w:val="0012623B"/>
    <w:rsid w:val="00133AE1"/>
    <w:rsid w:val="00141089"/>
    <w:rsid w:val="00160293"/>
    <w:rsid w:val="001A4831"/>
    <w:rsid w:val="001B0524"/>
    <w:rsid w:val="001C7756"/>
    <w:rsid w:val="001D3654"/>
    <w:rsid w:val="001D56DA"/>
    <w:rsid w:val="001F01FE"/>
    <w:rsid w:val="00200A61"/>
    <w:rsid w:val="00202FFC"/>
    <w:rsid w:val="00206DF6"/>
    <w:rsid w:val="002163FF"/>
    <w:rsid w:val="00225EB4"/>
    <w:rsid w:val="00235602"/>
    <w:rsid w:val="00236A77"/>
    <w:rsid w:val="00252CD6"/>
    <w:rsid w:val="00265A7D"/>
    <w:rsid w:val="0026752E"/>
    <w:rsid w:val="0029340A"/>
    <w:rsid w:val="002B7266"/>
    <w:rsid w:val="002C321F"/>
    <w:rsid w:val="002C3B5B"/>
    <w:rsid w:val="002D1507"/>
    <w:rsid w:val="002D39ED"/>
    <w:rsid w:val="002D548F"/>
    <w:rsid w:val="002E2C66"/>
    <w:rsid w:val="00325956"/>
    <w:rsid w:val="00344877"/>
    <w:rsid w:val="00364454"/>
    <w:rsid w:val="003D3403"/>
    <w:rsid w:val="003E7394"/>
    <w:rsid w:val="003F32BF"/>
    <w:rsid w:val="004128F6"/>
    <w:rsid w:val="00424014"/>
    <w:rsid w:val="00432144"/>
    <w:rsid w:val="00445CFA"/>
    <w:rsid w:val="00456027"/>
    <w:rsid w:val="00476E09"/>
    <w:rsid w:val="00494B4A"/>
    <w:rsid w:val="004A0354"/>
    <w:rsid w:val="004B154F"/>
    <w:rsid w:val="004B4515"/>
    <w:rsid w:val="004B6748"/>
    <w:rsid w:val="004C5993"/>
    <w:rsid w:val="004D506F"/>
    <w:rsid w:val="004E1129"/>
    <w:rsid w:val="005036FE"/>
    <w:rsid w:val="0052331F"/>
    <w:rsid w:val="005343DD"/>
    <w:rsid w:val="005645C0"/>
    <w:rsid w:val="00576871"/>
    <w:rsid w:val="00584E65"/>
    <w:rsid w:val="005C2C09"/>
    <w:rsid w:val="005D5BB3"/>
    <w:rsid w:val="005E02BE"/>
    <w:rsid w:val="005E6B18"/>
    <w:rsid w:val="005F5525"/>
    <w:rsid w:val="005F5B91"/>
    <w:rsid w:val="00626253"/>
    <w:rsid w:val="0065458C"/>
    <w:rsid w:val="00655074"/>
    <w:rsid w:val="00667038"/>
    <w:rsid w:val="00673EA0"/>
    <w:rsid w:val="00692864"/>
    <w:rsid w:val="006B300D"/>
    <w:rsid w:val="006D2F2E"/>
    <w:rsid w:val="006D642E"/>
    <w:rsid w:val="00703F78"/>
    <w:rsid w:val="00706A7D"/>
    <w:rsid w:val="00712986"/>
    <w:rsid w:val="007175EF"/>
    <w:rsid w:val="00730437"/>
    <w:rsid w:val="007450C3"/>
    <w:rsid w:val="007502A8"/>
    <w:rsid w:val="007618DB"/>
    <w:rsid w:val="00765C62"/>
    <w:rsid w:val="00766C76"/>
    <w:rsid w:val="00786146"/>
    <w:rsid w:val="007D0FA4"/>
    <w:rsid w:val="007F25ED"/>
    <w:rsid w:val="00807D20"/>
    <w:rsid w:val="008104E4"/>
    <w:rsid w:val="00832DC4"/>
    <w:rsid w:val="00837184"/>
    <w:rsid w:val="00843709"/>
    <w:rsid w:val="008507C8"/>
    <w:rsid w:val="00867539"/>
    <w:rsid w:val="00897B10"/>
    <w:rsid w:val="008A1622"/>
    <w:rsid w:val="008B486A"/>
    <w:rsid w:val="008D5B38"/>
    <w:rsid w:val="008F0C0C"/>
    <w:rsid w:val="0090253A"/>
    <w:rsid w:val="00926AA9"/>
    <w:rsid w:val="0098239E"/>
    <w:rsid w:val="009A2894"/>
    <w:rsid w:val="009C1C83"/>
    <w:rsid w:val="009D2504"/>
    <w:rsid w:val="009D55D0"/>
    <w:rsid w:val="009E304B"/>
    <w:rsid w:val="00A150FF"/>
    <w:rsid w:val="00A573BB"/>
    <w:rsid w:val="00A66C47"/>
    <w:rsid w:val="00A80659"/>
    <w:rsid w:val="00A82D28"/>
    <w:rsid w:val="00A90A32"/>
    <w:rsid w:val="00A9707D"/>
    <w:rsid w:val="00AB4008"/>
    <w:rsid w:val="00AB7D52"/>
    <w:rsid w:val="00AD3D81"/>
    <w:rsid w:val="00AF56C3"/>
    <w:rsid w:val="00B03FA5"/>
    <w:rsid w:val="00B3405B"/>
    <w:rsid w:val="00B34210"/>
    <w:rsid w:val="00B45861"/>
    <w:rsid w:val="00B62E1B"/>
    <w:rsid w:val="00B644AD"/>
    <w:rsid w:val="00B713DA"/>
    <w:rsid w:val="00B87C18"/>
    <w:rsid w:val="00B91F3B"/>
    <w:rsid w:val="00BD026B"/>
    <w:rsid w:val="00BD17E8"/>
    <w:rsid w:val="00BD48FB"/>
    <w:rsid w:val="00BD689A"/>
    <w:rsid w:val="00BF4876"/>
    <w:rsid w:val="00C04F14"/>
    <w:rsid w:val="00C414A9"/>
    <w:rsid w:val="00C5727C"/>
    <w:rsid w:val="00C6017D"/>
    <w:rsid w:val="00CA617C"/>
    <w:rsid w:val="00CC0F26"/>
    <w:rsid w:val="00CD42ED"/>
    <w:rsid w:val="00CE1BAE"/>
    <w:rsid w:val="00CF772B"/>
    <w:rsid w:val="00D06099"/>
    <w:rsid w:val="00D068D8"/>
    <w:rsid w:val="00D14560"/>
    <w:rsid w:val="00D277B0"/>
    <w:rsid w:val="00D42B50"/>
    <w:rsid w:val="00D61F03"/>
    <w:rsid w:val="00D66B2E"/>
    <w:rsid w:val="00D77899"/>
    <w:rsid w:val="00D847F7"/>
    <w:rsid w:val="00D85B4A"/>
    <w:rsid w:val="00D87522"/>
    <w:rsid w:val="00DA2ADC"/>
    <w:rsid w:val="00DD257D"/>
    <w:rsid w:val="00DE0337"/>
    <w:rsid w:val="00DE0F71"/>
    <w:rsid w:val="00E21710"/>
    <w:rsid w:val="00E21CF0"/>
    <w:rsid w:val="00E30198"/>
    <w:rsid w:val="00E31410"/>
    <w:rsid w:val="00E32DEC"/>
    <w:rsid w:val="00E33BB6"/>
    <w:rsid w:val="00E63876"/>
    <w:rsid w:val="00E67BE9"/>
    <w:rsid w:val="00E928D0"/>
    <w:rsid w:val="00E95426"/>
    <w:rsid w:val="00EA0EB6"/>
    <w:rsid w:val="00EA72E5"/>
    <w:rsid w:val="00ED34C3"/>
    <w:rsid w:val="00EE71F9"/>
    <w:rsid w:val="00EF12F6"/>
    <w:rsid w:val="00F9640E"/>
    <w:rsid w:val="00FC1FFF"/>
    <w:rsid w:val="00FC62AD"/>
    <w:rsid w:val="00FD3803"/>
    <w:rsid w:val="00FD617E"/>
    <w:rsid w:val="00FD754E"/>
    <w:rsid w:val="00FE01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1B174A"/>
  <w15:docId w15:val="{291D34F7-57DB-4612-B580-2584E81F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038"/>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67038"/>
    <w:pPr>
      <w:tabs>
        <w:tab w:val="center" w:pos="4419"/>
        <w:tab w:val="right" w:pos="8838"/>
      </w:tabs>
    </w:pPr>
  </w:style>
  <w:style w:type="character" w:customStyle="1" w:styleId="EncabezadoCar">
    <w:name w:val="Encabezado Car"/>
    <w:basedOn w:val="Fuentedeprrafopredeter"/>
    <w:link w:val="Encabezado"/>
    <w:rsid w:val="0066703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67038"/>
    <w:pPr>
      <w:ind w:left="720"/>
      <w:contextualSpacing/>
    </w:pPr>
  </w:style>
  <w:style w:type="paragraph" w:styleId="Piedepgina">
    <w:name w:val="footer"/>
    <w:basedOn w:val="Normal"/>
    <w:link w:val="PiedepginaCar"/>
    <w:uiPriority w:val="99"/>
    <w:unhideWhenUsed/>
    <w:rsid w:val="00667038"/>
    <w:pPr>
      <w:tabs>
        <w:tab w:val="center" w:pos="4419"/>
        <w:tab w:val="right" w:pos="8838"/>
      </w:tabs>
    </w:pPr>
  </w:style>
  <w:style w:type="character" w:customStyle="1" w:styleId="PiedepginaCar">
    <w:name w:val="Pie de página Car"/>
    <w:basedOn w:val="Fuentedeprrafopredeter"/>
    <w:link w:val="Piedepgina"/>
    <w:uiPriority w:val="99"/>
    <w:rsid w:val="00667038"/>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66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7038"/>
    <w:rPr>
      <w:rFonts w:eastAsiaTheme="minorHAnsi"/>
      <w:sz w:val="24"/>
      <w:szCs w:val="24"/>
      <w:lang w:val="es-MX" w:eastAsia="es-MX"/>
    </w:rPr>
  </w:style>
  <w:style w:type="paragraph" w:customStyle="1" w:styleId="xmsolistparagraph">
    <w:name w:val="xmsolistparagraph"/>
    <w:basedOn w:val="Normal"/>
    <w:rsid w:val="00667038"/>
    <w:rPr>
      <w:rFonts w:eastAsiaTheme="minorHAnsi"/>
      <w:sz w:val="24"/>
      <w:szCs w:val="24"/>
      <w:lang w:val="es-MX" w:eastAsia="es-MX"/>
    </w:rPr>
  </w:style>
  <w:style w:type="paragraph" w:customStyle="1" w:styleId="Default">
    <w:name w:val="Default"/>
    <w:rsid w:val="00667038"/>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667038"/>
    <w:pPr>
      <w:spacing w:line="201" w:lineRule="atLeast"/>
    </w:pPr>
    <w:rPr>
      <w:rFonts w:cstheme="minorBidi"/>
      <w:color w:val="auto"/>
    </w:rPr>
  </w:style>
  <w:style w:type="paragraph" w:customStyle="1" w:styleId="Pa2">
    <w:name w:val="Pa2"/>
    <w:basedOn w:val="Default"/>
    <w:next w:val="Default"/>
    <w:uiPriority w:val="99"/>
    <w:rsid w:val="00ED34C3"/>
    <w:pPr>
      <w:spacing w:line="201" w:lineRule="atLeast"/>
    </w:pPr>
    <w:rPr>
      <w:rFonts w:cstheme="minorBidi"/>
      <w:color w:val="auto"/>
    </w:rPr>
  </w:style>
  <w:style w:type="paragraph" w:customStyle="1" w:styleId="wordsection1">
    <w:name w:val="wordsection1"/>
    <w:basedOn w:val="Normal"/>
    <w:uiPriority w:val="99"/>
    <w:rsid w:val="00E31410"/>
    <w:rPr>
      <w:rFonts w:eastAsiaTheme="minorHAnsi"/>
      <w:sz w:val="24"/>
      <w:szCs w:val="24"/>
      <w:lang w:val="es-MX" w:eastAsia="es-MX"/>
    </w:rPr>
  </w:style>
  <w:style w:type="paragraph" w:styleId="Textodeglobo">
    <w:name w:val="Balloon Text"/>
    <w:basedOn w:val="Normal"/>
    <w:link w:val="TextodegloboCar"/>
    <w:uiPriority w:val="99"/>
    <w:semiHidden/>
    <w:unhideWhenUsed/>
    <w:rsid w:val="00C572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27C"/>
    <w:rPr>
      <w:rFonts w:ascii="Segoe UI" w:eastAsia="Times New Roman" w:hAnsi="Segoe UI" w:cs="Segoe UI"/>
      <w:sz w:val="18"/>
      <w:szCs w:val="18"/>
      <w:lang w:val="es-ES" w:eastAsia="es-ES"/>
    </w:rPr>
  </w:style>
  <w:style w:type="table" w:styleId="Tablanormal4">
    <w:name w:val="Plain Table 4"/>
    <w:basedOn w:val="Tablanormal"/>
    <w:uiPriority w:val="44"/>
    <w:rsid w:val="003259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206DF6"/>
    <w:rPr>
      <w:color w:val="0563C1" w:themeColor="hyperlink"/>
      <w:u w:val="single"/>
    </w:rPr>
  </w:style>
  <w:style w:type="character" w:customStyle="1" w:styleId="Mencinsinresolver1">
    <w:name w:val="Mención sin resolver1"/>
    <w:basedOn w:val="Fuentedeprrafopredeter"/>
    <w:uiPriority w:val="99"/>
    <w:semiHidden/>
    <w:unhideWhenUsed/>
    <w:rsid w:val="00206DF6"/>
    <w:rPr>
      <w:color w:val="605E5C"/>
      <w:shd w:val="clear" w:color="auto" w:fill="E1DFDD"/>
    </w:rPr>
  </w:style>
  <w:style w:type="character" w:styleId="Hipervnculovisitado">
    <w:name w:val="FollowedHyperlink"/>
    <w:basedOn w:val="Fuentedeprrafopredeter"/>
    <w:uiPriority w:val="99"/>
    <w:semiHidden/>
    <w:unhideWhenUsed/>
    <w:rsid w:val="00F9640E"/>
    <w:rPr>
      <w:color w:val="954F72" w:themeColor="followedHyperlink"/>
      <w:u w:val="single"/>
    </w:rPr>
  </w:style>
  <w:style w:type="character" w:styleId="Mencinsinresolver">
    <w:name w:val="Unresolved Mention"/>
    <w:basedOn w:val="Fuentedeprrafopredeter"/>
    <w:uiPriority w:val="99"/>
    <w:semiHidden/>
    <w:unhideWhenUsed/>
    <w:rsid w:val="00364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9108">
      <w:bodyDiv w:val="1"/>
      <w:marLeft w:val="0"/>
      <w:marRight w:val="0"/>
      <w:marTop w:val="0"/>
      <w:marBottom w:val="0"/>
      <w:divBdr>
        <w:top w:val="none" w:sz="0" w:space="0" w:color="auto"/>
        <w:left w:val="none" w:sz="0" w:space="0" w:color="auto"/>
        <w:bottom w:val="none" w:sz="0" w:space="0" w:color="auto"/>
        <w:right w:val="none" w:sz="0" w:space="0" w:color="auto"/>
      </w:divBdr>
    </w:div>
    <w:div w:id="968626545">
      <w:bodyDiv w:val="1"/>
      <w:marLeft w:val="0"/>
      <w:marRight w:val="0"/>
      <w:marTop w:val="0"/>
      <w:marBottom w:val="0"/>
      <w:divBdr>
        <w:top w:val="none" w:sz="0" w:space="0" w:color="auto"/>
        <w:left w:val="none" w:sz="0" w:space="0" w:color="auto"/>
        <w:bottom w:val="none" w:sz="0" w:space="0" w:color="auto"/>
        <w:right w:val="none" w:sz="0" w:space="0" w:color="auto"/>
      </w:divBdr>
    </w:div>
    <w:div w:id="1223324231">
      <w:bodyDiv w:val="1"/>
      <w:marLeft w:val="0"/>
      <w:marRight w:val="0"/>
      <w:marTop w:val="0"/>
      <w:marBottom w:val="0"/>
      <w:divBdr>
        <w:top w:val="none" w:sz="0" w:space="0" w:color="auto"/>
        <w:left w:val="none" w:sz="0" w:space="0" w:color="auto"/>
        <w:bottom w:val="none" w:sz="0" w:space="0" w:color="auto"/>
        <w:right w:val="none" w:sz="0" w:space="0" w:color="auto"/>
      </w:divBdr>
    </w:div>
    <w:div w:id="1942640763">
      <w:bodyDiv w:val="1"/>
      <w:marLeft w:val="0"/>
      <w:marRight w:val="0"/>
      <w:marTop w:val="0"/>
      <w:marBottom w:val="0"/>
      <w:divBdr>
        <w:top w:val="none" w:sz="0" w:space="0" w:color="auto"/>
        <w:left w:val="none" w:sz="0" w:space="0" w:color="auto"/>
        <w:bottom w:val="none" w:sz="0" w:space="0" w:color="auto"/>
        <w:right w:val="none" w:sz="0" w:space="0" w:color="auto"/>
      </w:divBdr>
      <w:divsChild>
        <w:div w:id="138036465">
          <w:marLeft w:val="0"/>
          <w:marRight w:val="0"/>
          <w:marTop w:val="240"/>
          <w:marBottom w:val="0"/>
          <w:divBdr>
            <w:top w:val="none" w:sz="0" w:space="0" w:color="auto"/>
            <w:left w:val="none" w:sz="0" w:space="0" w:color="auto"/>
            <w:bottom w:val="none" w:sz="0" w:space="0" w:color="auto"/>
            <w:right w:val="none" w:sz="0" w:space="0" w:color="auto"/>
          </w:divBdr>
          <w:divsChild>
            <w:div w:id="1058013753">
              <w:marLeft w:val="0"/>
              <w:marRight w:val="0"/>
              <w:marTop w:val="0"/>
              <w:marBottom w:val="0"/>
              <w:divBdr>
                <w:top w:val="none" w:sz="0" w:space="0" w:color="auto"/>
                <w:left w:val="none" w:sz="0" w:space="0" w:color="auto"/>
                <w:bottom w:val="none" w:sz="0" w:space="0" w:color="auto"/>
                <w:right w:val="none" w:sz="0" w:space="0" w:color="auto"/>
              </w:divBdr>
              <w:divsChild>
                <w:div w:id="2067950775">
                  <w:marLeft w:val="0"/>
                  <w:marRight w:val="0"/>
                  <w:marTop w:val="0"/>
                  <w:marBottom w:val="0"/>
                  <w:divBdr>
                    <w:top w:val="none" w:sz="0" w:space="0" w:color="auto"/>
                    <w:left w:val="none" w:sz="0" w:space="0" w:color="auto"/>
                    <w:bottom w:val="none" w:sz="0" w:space="0" w:color="auto"/>
                    <w:right w:val="none" w:sz="0" w:space="0" w:color="auto"/>
                  </w:divBdr>
                  <w:divsChild>
                    <w:div w:id="1341354977">
                      <w:marLeft w:val="1440"/>
                      <w:marRight w:val="0"/>
                      <w:marTop w:val="0"/>
                      <w:marBottom w:val="101"/>
                      <w:divBdr>
                        <w:top w:val="none" w:sz="0" w:space="0" w:color="auto"/>
                        <w:left w:val="none" w:sz="0" w:space="0" w:color="auto"/>
                        <w:bottom w:val="none" w:sz="0" w:space="0" w:color="auto"/>
                        <w:right w:val="none" w:sz="0" w:space="0" w:color="auto"/>
                      </w:divBdr>
                    </w:div>
                    <w:div w:id="579799827">
                      <w:marLeft w:val="1440"/>
                      <w:marRight w:val="0"/>
                      <w:marTop w:val="0"/>
                      <w:marBottom w:val="101"/>
                      <w:divBdr>
                        <w:top w:val="none" w:sz="0" w:space="0" w:color="auto"/>
                        <w:left w:val="none" w:sz="0" w:space="0" w:color="auto"/>
                        <w:bottom w:val="none" w:sz="0" w:space="0" w:color="auto"/>
                        <w:right w:val="none" w:sz="0" w:space="0" w:color="auto"/>
                      </w:divBdr>
                    </w:div>
                    <w:div w:id="1735931674">
                      <w:marLeft w:val="1440"/>
                      <w:marRight w:val="0"/>
                      <w:marTop w:val="0"/>
                      <w:marBottom w:val="101"/>
                      <w:divBdr>
                        <w:top w:val="none" w:sz="0" w:space="0" w:color="auto"/>
                        <w:left w:val="none" w:sz="0" w:space="0" w:color="auto"/>
                        <w:bottom w:val="none" w:sz="0" w:space="0" w:color="auto"/>
                        <w:right w:val="none" w:sz="0" w:space="0" w:color="auto"/>
                      </w:divBdr>
                    </w:div>
                    <w:div w:id="1755931911">
                      <w:marLeft w:val="1440"/>
                      <w:marRight w:val="0"/>
                      <w:marTop w:val="0"/>
                      <w:marBottom w:val="101"/>
                      <w:divBdr>
                        <w:top w:val="none" w:sz="0" w:space="0" w:color="auto"/>
                        <w:left w:val="none" w:sz="0" w:space="0" w:color="auto"/>
                        <w:bottom w:val="none" w:sz="0" w:space="0" w:color="auto"/>
                        <w:right w:val="none" w:sz="0" w:space="0" w:color="auto"/>
                      </w:divBdr>
                    </w:div>
                    <w:div w:id="1416512389">
                      <w:marLeft w:val="1440"/>
                      <w:marRight w:val="0"/>
                      <w:marTop w:val="0"/>
                      <w:marBottom w:val="101"/>
                      <w:divBdr>
                        <w:top w:val="none" w:sz="0" w:space="0" w:color="auto"/>
                        <w:left w:val="none" w:sz="0" w:space="0" w:color="auto"/>
                        <w:bottom w:val="none" w:sz="0" w:space="0" w:color="auto"/>
                        <w:right w:val="none" w:sz="0" w:space="0" w:color="auto"/>
                      </w:divBdr>
                    </w:div>
                    <w:div w:id="1665860960">
                      <w:marLeft w:val="1440"/>
                      <w:marRight w:val="0"/>
                      <w:marTop w:val="0"/>
                      <w:marBottom w:val="101"/>
                      <w:divBdr>
                        <w:top w:val="none" w:sz="0" w:space="0" w:color="auto"/>
                        <w:left w:val="none" w:sz="0" w:space="0" w:color="auto"/>
                        <w:bottom w:val="none" w:sz="0" w:space="0" w:color="auto"/>
                        <w:right w:val="none" w:sz="0" w:space="0" w:color="auto"/>
                      </w:divBdr>
                    </w:div>
                    <w:div w:id="1024479165">
                      <w:marLeft w:val="1440"/>
                      <w:marRight w:val="0"/>
                      <w:marTop w:val="0"/>
                      <w:marBottom w:val="101"/>
                      <w:divBdr>
                        <w:top w:val="none" w:sz="0" w:space="0" w:color="auto"/>
                        <w:left w:val="none" w:sz="0" w:space="0" w:color="auto"/>
                        <w:bottom w:val="none" w:sz="0" w:space="0" w:color="auto"/>
                        <w:right w:val="none" w:sz="0" w:space="0" w:color="auto"/>
                      </w:divBdr>
                    </w:div>
                    <w:div w:id="394592801">
                      <w:marLeft w:val="1440"/>
                      <w:marRight w:val="0"/>
                      <w:marTop w:val="0"/>
                      <w:marBottom w:val="101"/>
                      <w:divBdr>
                        <w:top w:val="none" w:sz="0" w:space="0" w:color="auto"/>
                        <w:left w:val="none" w:sz="0" w:space="0" w:color="auto"/>
                        <w:bottom w:val="none" w:sz="0" w:space="0" w:color="auto"/>
                        <w:right w:val="none" w:sz="0" w:space="0" w:color="auto"/>
                      </w:divBdr>
                    </w:div>
                    <w:div w:id="655064340">
                      <w:marLeft w:val="1440"/>
                      <w:marRight w:val="0"/>
                      <w:marTop w:val="0"/>
                      <w:marBottom w:val="101"/>
                      <w:divBdr>
                        <w:top w:val="none" w:sz="0" w:space="0" w:color="auto"/>
                        <w:left w:val="none" w:sz="0" w:space="0" w:color="auto"/>
                        <w:bottom w:val="none" w:sz="0" w:space="0" w:color="auto"/>
                        <w:right w:val="none" w:sz="0" w:space="0" w:color="auto"/>
                      </w:divBdr>
                    </w:div>
                    <w:div w:id="602147874">
                      <w:marLeft w:val="144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95057-525E-434B-BB23-2D80E516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1958</Words>
  <Characters>10774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Grecia Desiree Chavarria Perez</dc:creator>
  <cp:lastModifiedBy>Luz Maria Ochoa Paez</cp:lastModifiedBy>
  <cp:revision>10</cp:revision>
  <cp:lastPrinted>2022-12-15T18:51:00Z</cp:lastPrinted>
  <dcterms:created xsi:type="dcterms:W3CDTF">2022-12-14T17:30:00Z</dcterms:created>
  <dcterms:modified xsi:type="dcterms:W3CDTF">2023-01-02T15:38:00Z</dcterms:modified>
</cp:coreProperties>
</file>